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A416ADC" w14:textId="3696F867" w:rsidR="00B42152" w:rsidRDefault="00B90841" w:rsidP="00B42152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/>
          <w:spacing w:val="-2"/>
          <w:sz w:val="64"/>
          <w:szCs w:val="64"/>
        </w:rPr>
      </w:pPr>
      <w:r w:rsidRPr="00010640">
        <w:rPr>
          <w:rFonts w:ascii="Plus Jakarta Sans" w:eastAsia="Verdana" w:hAnsi="Plus Jakarta Sans" w:cs="Verdana"/>
          <w:color w:val="FFFFFF"/>
          <w:spacing w:val="-2"/>
          <w:sz w:val="64"/>
          <w:szCs w:val="64"/>
        </w:rPr>
        <w:drawing>
          <wp:anchor distT="0" distB="0" distL="114300" distR="114300" simplePos="0" relativeHeight="251658242" behindDoc="0" locked="0" layoutInCell="1" allowOverlap="1" wp14:anchorId="11D2741F" wp14:editId="3F40E865">
            <wp:simplePos x="0" y="0"/>
            <wp:positionH relativeFrom="page">
              <wp:align>right</wp:align>
            </wp:positionH>
            <wp:positionV relativeFrom="paragraph">
              <wp:posOffset>-3067066</wp:posOffset>
            </wp:positionV>
            <wp:extent cx="12073486" cy="7823625"/>
            <wp:effectExtent l="0" t="0" r="0" b="0"/>
            <wp:wrapNone/>
            <wp:docPr id="2" name="Picture 1" descr="Shap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E25092D-CFB0-A079-7604-916DA2797D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hape&#10;&#10;Description automatically generated">
                      <a:extLst>
                        <a:ext uri="{FF2B5EF4-FFF2-40B4-BE49-F238E27FC236}">
                          <a16:creationId xmlns:a16="http://schemas.microsoft.com/office/drawing/2014/main" id="{EE25092D-CFB0-A079-7604-916DA2797D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1178" r="13936" b="3477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073486" cy="7823625"/>
                    </a:xfrm>
                    <a:custGeom>
                      <a:avLst/>
                      <a:gdLst>
                        <a:gd name="csX0" fmla="*/ 0 w 10289268"/>
                        <a:gd name="csY0" fmla="*/ 5963745 h 5963745"/>
                        <a:gd name="csX1" fmla="*/ 0 w 10289268"/>
                        <a:gd name="csY1" fmla="*/ 0 h 5963745"/>
                        <a:gd name="csX2" fmla="*/ 10289268 w 10289268"/>
                        <a:gd name="csY2" fmla="*/ 0 h 5963745"/>
                        <a:gd name="csX3" fmla="*/ 10289268 w 10289268"/>
                        <a:gd name="csY3" fmla="*/ 5963745 h 5963745"/>
                        <a:gd name="csX4" fmla="*/ 2515095 w 10289268"/>
                        <a:gd name="csY4" fmla="*/ 5963745 h 5963745"/>
                        <a:gd name="csX5" fmla="*/ 2515095 w 10289268"/>
                        <a:gd name="csY5" fmla="*/ 1255700 h 5963745"/>
                        <a:gd name="csX6" fmla="*/ 171945 w 10289268"/>
                        <a:gd name="csY6" fmla="*/ 1255700 h 5963745"/>
                        <a:gd name="csX7" fmla="*/ 171944 w 10289268"/>
                        <a:gd name="csY7" fmla="*/ 5963745 h 5963745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  <a:cxn ang="0">
                          <a:pos x="csX4" y="csY4"/>
                        </a:cxn>
                        <a:cxn ang="0">
                          <a:pos x="csX5" y="csY5"/>
                        </a:cxn>
                        <a:cxn ang="0">
                          <a:pos x="csX6" y="csY6"/>
                        </a:cxn>
                        <a:cxn ang="0">
                          <a:pos x="csX7" y="csY7"/>
                        </a:cxn>
                      </a:cxnLst>
                      <a:rect l="l" t="t" r="r" b="b"/>
                      <a:pathLst>
                        <a:path w="10289268" h="5963745">
                          <a:moveTo>
                            <a:pt x="0" y="5963745"/>
                          </a:moveTo>
                          <a:lnTo>
                            <a:pt x="0" y="0"/>
                          </a:lnTo>
                          <a:lnTo>
                            <a:pt x="10289268" y="0"/>
                          </a:lnTo>
                          <a:lnTo>
                            <a:pt x="10289268" y="5963745"/>
                          </a:lnTo>
                          <a:lnTo>
                            <a:pt x="2515095" y="5963745"/>
                          </a:lnTo>
                          <a:lnTo>
                            <a:pt x="2515095" y="1255700"/>
                          </a:lnTo>
                          <a:lnTo>
                            <a:pt x="171945" y="1255700"/>
                          </a:lnTo>
                          <a:lnTo>
                            <a:pt x="171944" y="5963745"/>
                          </a:lnTo>
                          <a:close/>
                        </a:path>
                      </a:pathLst>
                    </a:cu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55D8" w:rsidRPr="00B317D5">
        <w:rPr>
          <w:rFonts w:ascii="Plus Jakarta Sans" w:eastAsia="Verdana" w:hAnsi="Plus Jakarta Sans" w:cs="Verdana"/>
          <w:color w:val="FFFFFF"/>
          <w:spacing w:val="-2"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5857C0BD" wp14:editId="3D107B8B">
                <wp:simplePos x="0" y="0"/>
                <wp:positionH relativeFrom="margin">
                  <wp:align>center</wp:align>
                </wp:positionH>
                <wp:positionV relativeFrom="paragraph">
                  <wp:posOffset>-1752910</wp:posOffset>
                </wp:positionV>
                <wp:extent cx="7866993" cy="10692130"/>
                <wp:effectExtent l="0" t="0" r="1270" b="0"/>
                <wp:wrapNone/>
                <wp:docPr id="1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D9424E-FFDE-3490-487A-1BA0DC8C3FB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6993" cy="1069213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rect w14:anchorId="05BC3814" id="Rectangle 1" o:spid="_x0000_s1026" style="position:absolute;margin-left:0;margin-top:-138pt;width:619.45pt;height:841.9pt;z-index:-25165823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oxj6wEAALoDAAAOAAAAZHJzL2Uyb0RvYy54bWysU9tu2zAMfR+wfxD0vjhOs7Qx4hRFig4D&#10;ugvQ7QMYWY6FyaJGKXG6rx8lp2mwvQ17EUSRPOI5OlrdHnsrDpqCQVfLcjKVQjuFjXG7Wn7/9vDu&#10;RooQwTVg0elaPusgb9dv36wGX+kZdmgbTYJBXKgGX8suRl8VRVCd7iFM0GvHyRaph8gh7YqGYGD0&#10;3haz6XRRDEiNJ1Q6BD69H5NynfHbVqv4pW2DjsLWkmeLeaW8btNarFdQ7Qh8Z9RpDPiHKXowji89&#10;Q91DBLEn8xdUbxRhwDZOFPYFtq1ROnNgNuX0DzZPHXidubA4wZ9lCv8PVn0+PPmvlEYP/hHVjyAc&#10;bjpwO31HhEOnoeHryiRUMfhQnRtSELhVbIdP2PDTwj5i1uDYUp8AmZ04Zqmfz1LrYxSKD69vFovl&#10;8koKxblyuljOyqv8GgVUL/2eQvygsRdpU0vix8z4cHgMMc0D1UtJnh+taR6MtTlIBtIbS+IA/PSg&#10;lHZxZMFMLyutS/UOU+cImk4y10QvOSlUW2yemSrhaCA2PG86pF9SDGyeWoafeyAthf3oWK5lOZ8n&#10;t+Vg/v56xgFdZraXGXCKoWoZpRi3mzg6dO/J7Dq+qcy8Hd6xxK3J3F+nOg3LBsmSnMycHHgZ56rX&#10;L7f+DQAA//8DAFBLAwQUAAYACAAAACEAV6gb/OEAAAALAQAADwAAAGRycy9kb3ducmV2LnhtbEyP&#10;wU7DMBBE70j8g7VI3FqHgNoQ4lQREgKVQ9WABEcnNnGUeB3FThr+nu2p3GY1o9k32W6xPZv16FuH&#10;Au7WETCNtVMtNgI+P15WCTAfJCrZO9QCfrWHXX59lclUuRMe9VyGhlEJ+lQKMCEMKee+NtpKv3aD&#10;RvJ+3GhloHNsuBrlicptz+Mo2nArW6QPRg762ei6Kycr4O27CK/7atq7r+LYle/mMHfdQYjbm6V4&#10;Ahb0Ei5hOOMTOuTEVLkJlWe9ABoSBKzi7YbU2Y/vk0dgFamHaJsAzzP+f0P+BwAA//8DAFBLAQIt&#10;ABQABgAIAAAAIQC2gziS/gAAAOEBAAATAAAAAAAAAAAAAAAAAAAAAABbQ29udGVudF9UeXBlc10u&#10;eG1sUEsBAi0AFAAGAAgAAAAhADj9If/WAAAAlAEAAAsAAAAAAAAAAAAAAAAALwEAAF9yZWxzLy5y&#10;ZWxzUEsBAi0AFAAGAAgAAAAhANu2jGPrAQAAugMAAA4AAAAAAAAAAAAAAAAALgIAAGRycy9lMm9E&#10;b2MueG1sUEsBAi0AFAAGAAgAAAAhAFeoG/zhAAAACwEAAA8AAAAAAAAAAAAAAAAARQQAAGRycy9k&#10;b3ducmV2LnhtbFBLBQYAAAAABAAEAPMAAABTBQAAAAA=&#10;" fillcolor="#1c1f38 [3204]" stroked="f">
                <w10:wrap anchorx="margin"/>
              </v:rect>
            </w:pict>
          </mc:Fallback>
        </mc:AlternateContent>
      </w:r>
    </w:p>
    <w:p w14:paraId="661A1585" w14:textId="58131FD8" w:rsidR="00B42152" w:rsidRDefault="00B42152" w:rsidP="00B42152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/>
          <w:spacing w:val="-2"/>
          <w:sz w:val="64"/>
          <w:szCs w:val="64"/>
        </w:rPr>
      </w:pPr>
    </w:p>
    <w:p w14:paraId="6C7E5FFE" w14:textId="76C0B21A" w:rsidR="00B42152" w:rsidRDefault="00B42152" w:rsidP="00B42152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/>
          <w:spacing w:val="-2"/>
          <w:sz w:val="64"/>
          <w:szCs w:val="64"/>
        </w:rPr>
      </w:pPr>
    </w:p>
    <w:p w14:paraId="2347F596" w14:textId="6790C08F" w:rsidR="00B42152" w:rsidRDefault="00B42152" w:rsidP="00B42152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/>
          <w:spacing w:val="-2"/>
          <w:sz w:val="64"/>
          <w:szCs w:val="64"/>
        </w:rPr>
      </w:pPr>
    </w:p>
    <w:p w14:paraId="4F2FDB73" w14:textId="49F9312B" w:rsidR="00B42152" w:rsidRDefault="00B42152" w:rsidP="00B42152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/>
          <w:spacing w:val="-2"/>
          <w:sz w:val="64"/>
          <w:szCs w:val="64"/>
        </w:rPr>
      </w:pPr>
    </w:p>
    <w:p w14:paraId="50A627C3" w14:textId="6824CC92" w:rsidR="00B42152" w:rsidRDefault="00B42152" w:rsidP="00B42152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/>
          <w:spacing w:val="-2"/>
          <w:sz w:val="64"/>
          <w:szCs w:val="64"/>
        </w:rPr>
      </w:pPr>
    </w:p>
    <w:p w14:paraId="071CEDBA" w14:textId="5B1F3497" w:rsidR="00B42152" w:rsidRDefault="00B42152" w:rsidP="00B42152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/>
          <w:spacing w:val="-2"/>
          <w:sz w:val="64"/>
          <w:szCs w:val="64"/>
        </w:rPr>
      </w:pPr>
    </w:p>
    <w:p w14:paraId="41FC9DA7" w14:textId="4B0E3DB3" w:rsidR="00B42152" w:rsidRDefault="00B42152" w:rsidP="00B42152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/>
          <w:spacing w:val="-2"/>
          <w:sz w:val="64"/>
          <w:szCs w:val="64"/>
        </w:rPr>
      </w:pPr>
    </w:p>
    <w:p w14:paraId="0962F1E7" w14:textId="77777777" w:rsidR="00B42152" w:rsidRDefault="00B42152" w:rsidP="00B42152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/>
          <w:spacing w:val="-2"/>
          <w:sz w:val="64"/>
          <w:szCs w:val="64"/>
        </w:rPr>
      </w:pPr>
    </w:p>
    <w:p w14:paraId="3ADD5B24" w14:textId="577F3B96" w:rsidR="00B42152" w:rsidRDefault="00B42152" w:rsidP="00B42152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/>
          <w:spacing w:val="-2"/>
          <w:sz w:val="64"/>
          <w:szCs w:val="64"/>
        </w:rPr>
      </w:pPr>
    </w:p>
    <w:p w14:paraId="2CE39A5C" w14:textId="7F3FD147" w:rsidR="00B42152" w:rsidRDefault="00B42152" w:rsidP="00B42152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/>
          <w:spacing w:val="-2"/>
          <w:sz w:val="64"/>
          <w:szCs w:val="64"/>
        </w:rPr>
      </w:pPr>
    </w:p>
    <w:p w14:paraId="473D1D6A" w14:textId="6808D60D" w:rsidR="00010640" w:rsidRDefault="00010640" w:rsidP="3F4F8DF6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 w:themeColor="background1"/>
          <w:sz w:val="64"/>
          <w:szCs w:val="64"/>
        </w:rPr>
      </w:pPr>
    </w:p>
    <w:p w14:paraId="6B1EBEC0" w14:textId="24789064" w:rsidR="00010640" w:rsidRDefault="00010640" w:rsidP="3F4F8DF6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 w:themeColor="background1"/>
          <w:sz w:val="64"/>
          <w:szCs w:val="64"/>
        </w:rPr>
      </w:pPr>
    </w:p>
    <w:p w14:paraId="642DA8E9" w14:textId="77777777" w:rsidR="00B90841" w:rsidRPr="00B90841" w:rsidRDefault="00B90841" w:rsidP="3F4F8DF6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 w:themeColor="background1"/>
          <w:sz w:val="34"/>
          <w:szCs w:val="2"/>
        </w:rPr>
      </w:pPr>
    </w:p>
    <w:p w14:paraId="67786603" w14:textId="01590648" w:rsidR="00A72250" w:rsidRDefault="00B90841" w:rsidP="3F4F8DF6">
      <w:pPr>
        <w:pStyle w:val="TextNormal"/>
        <w:spacing w:line="240" w:lineRule="auto"/>
        <w:rPr>
          <w:rFonts w:ascii="Plus Jakarta Sans" w:eastAsia="Verdana" w:hAnsi="Plus Jakarta Sans" w:cs="Verdana"/>
          <w:noProof w:val="0"/>
          <w:color w:val="FFFFFF" w:themeColor="background1"/>
          <w:sz w:val="64"/>
          <w:szCs w:val="64"/>
        </w:rPr>
      </w:pPr>
      <w:r>
        <w:rPr>
          <w:rFonts w:ascii="Plus Jakarta Sans" w:eastAsia="Verdana" w:hAnsi="Plus Jakarta Sans" w:cs="Verdana"/>
          <w:noProof w:val="0"/>
          <w:color w:val="FFFFFF" w:themeColor="background1"/>
          <w:sz w:val="64"/>
          <w:szCs w:val="64"/>
        </w:rPr>
        <w:t>The Global Loyalty Decision Guide</w:t>
      </w:r>
    </w:p>
    <w:p w14:paraId="7557F5BC" w14:textId="71F96EC5" w:rsidR="00A72250" w:rsidRPr="00010640" w:rsidRDefault="00A72250" w:rsidP="00010640">
      <w:pPr>
        <w:pStyle w:val="TextNormal"/>
        <w:spacing w:line="240" w:lineRule="auto"/>
        <w:rPr>
          <w:rFonts w:ascii="Plus Jakarta Sans" w:hAnsi="Plus Jakarta Sans"/>
          <w:color w:val="FFFFFF" w:themeColor="background1"/>
          <w:spacing w:val="-4"/>
          <w:sz w:val="16"/>
          <w:szCs w:val="16"/>
        </w:rPr>
        <w:sectPr w:rsidR="00A72250" w:rsidRPr="00010640" w:rsidSect="009469F1">
          <w:headerReference w:type="even" r:id="rId12"/>
          <w:headerReference w:type="default" r:id="rId13"/>
          <w:footerReference w:type="default" r:id="rId14"/>
          <w:headerReference w:type="first" r:id="rId15"/>
          <w:pgSz w:w="12240" w:h="15840" w:code="1"/>
          <w:pgMar w:top="1080" w:right="900" w:bottom="1080" w:left="1080" w:header="720" w:footer="864" w:gutter="0"/>
          <w:cols w:space="720"/>
          <w:docGrid w:linePitch="360"/>
        </w:sectPr>
      </w:pPr>
    </w:p>
    <w:p w14:paraId="4A7B2841" w14:textId="13FE6762" w:rsidR="00A72250" w:rsidRPr="00FA55D8" w:rsidRDefault="00C13FA2" w:rsidP="00C13FA2">
      <w:pPr>
        <w:pStyle w:val="TextNormal"/>
        <w:spacing w:before="240" w:line="240" w:lineRule="auto"/>
        <w:rPr>
          <w:rFonts w:ascii="Plus Jakarta Sans" w:hAnsi="Plus Jakarta Sans"/>
          <w:b/>
          <w:bCs/>
          <w:color w:val="FFFFFF" w:themeColor="background1"/>
          <w:spacing w:val="-2"/>
          <w:sz w:val="32"/>
          <w:szCs w:val="32"/>
        </w:rPr>
      </w:pPr>
      <w:r w:rsidRPr="00FA55D8">
        <w:rPr>
          <w:rFonts w:ascii="Plus Jakarta Sans" w:hAnsi="Plus Jakarta Sans"/>
          <w:b/>
          <w:bCs/>
          <w:color w:val="FFFFFF" w:themeColor="background1"/>
          <w:sz w:val="32"/>
          <w:szCs w:val="32"/>
        </w:rPr>
        <w:lastRenderedPageBreak/>
        <w:t xml:space="preserve">Table of </w:t>
      </w:r>
      <w:r w:rsidRPr="00FA55D8">
        <w:rPr>
          <w:rFonts w:ascii="Plus Jakarta Sans" w:hAnsi="Plus Jakarta Sans"/>
          <w:b/>
          <w:bCs/>
          <w:color w:val="FFFFFF" w:themeColor="background1"/>
          <w:spacing w:val="-2"/>
          <w:sz w:val="32"/>
          <w:szCs w:val="32"/>
        </w:rPr>
        <w:t>contents</w:t>
      </w:r>
    </w:p>
    <w:sdt>
      <w:sdtPr>
        <w:rPr>
          <w:rFonts w:ascii="Plus Jakarta Sans" w:eastAsiaTheme="minorEastAsia" w:hAnsi="Plus Jakarta Sans"/>
          <w:b w:val="0"/>
          <w:caps w:val="0"/>
          <w:color w:val="FFFFFF" w:themeColor="background1"/>
          <w:sz w:val="22"/>
        </w:rPr>
        <w:id w:val="344296749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1613A354" w14:textId="522F4446" w:rsidR="00BD6538" w:rsidRPr="00BD6538" w:rsidRDefault="00AC1DE0">
          <w:pPr>
            <w:pStyle w:val="TOC1"/>
            <w:rPr>
              <w:rFonts w:eastAsiaTheme="minorEastAsia"/>
              <w:b w:val="0"/>
              <w:caps w:val="0"/>
              <w:noProof/>
              <w:color w:val="FFFFFF" w:themeColor="background1"/>
              <w:kern w:val="2"/>
              <w:szCs w:val="24"/>
              <w14:ligatures w14:val="standardContextual"/>
            </w:rPr>
          </w:pPr>
          <w:r w:rsidRPr="00BD6538">
            <w:rPr>
              <w:rFonts w:ascii="Plus Jakarta Sans" w:eastAsiaTheme="majorEastAsia" w:hAnsi="Plus Jakarta Sans" w:cs="Times New Roman (Body CS)"/>
              <w:b w:val="0"/>
              <w:color w:val="FFFFFF" w:themeColor="background1"/>
              <w:szCs w:val="32"/>
            </w:rPr>
            <w:fldChar w:fldCharType="begin"/>
          </w:r>
          <w:r w:rsidRPr="00BD6538">
            <w:rPr>
              <w:rFonts w:ascii="Plus Jakarta Sans" w:hAnsi="Plus Jakarta Sans" w:cs="Times New Roman (Body CS)"/>
              <w:color w:val="FFFFFF" w:themeColor="background1"/>
            </w:rPr>
            <w:instrText xml:space="preserve"> TOC \o "1-3" \h \z \u </w:instrText>
          </w:r>
          <w:r w:rsidRPr="00BD6538">
            <w:rPr>
              <w:rFonts w:ascii="Plus Jakarta Sans" w:eastAsiaTheme="majorEastAsia" w:hAnsi="Plus Jakarta Sans" w:cs="Times New Roman (Body CS)"/>
              <w:b w:val="0"/>
              <w:color w:val="FFFFFF" w:themeColor="background1"/>
              <w:szCs w:val="32"/>
            </w:rPr>
            <w:fldChar w:fldCharType="separate"/>
          </w:r>
          <w:hyperlink w:anchor="_Toc236399579" w:history="1">
            <w:r w:rsidR="00BD6538" w:rsidRPr="00BD6538">
              <w:rPr>
                <w:rStyle w:val="Hyperlink"/>
                <w:rFonts w:ascii="Plus Jakarta Sans" w:hAnsi="Plus Jakarta Sans"/>
                <w:noProof/>
                <w:color w:val="FFFFFF" w:themeColor="background1"/>
              </w:rPr>
              <w:t>How to use this guide</w:t>
            </w:r>
            <w:r w:rsidR="00BD6538" w:rsidRPr="00BD6538">
              <w:rPr>
                <w:noProof/>
                <w:webHidden/>
                <w:color w:val="FFFFFF" w:themeColor="background1"/>
              </w:rPr>
              <w:tab/>
            </w:r>
            <w:r w:rsidR="00BD6538" w:rsidRPr="00BD6538">
              <w:rPr>
                <w:noProof/>
                <w:webHidden/>
                <w:color w:val="FFFFFF" w:themeColor="background1"/>
              </w:rPr>
              <w:fldChar w:fldCharType="begin"/>
            </w:r>
            <w:r w:rsidR="00BD6538" w:rsidRPr="00BD6538">
              <w:rPr>
                <w:noProof/>
                <w:webHidden/>
                <w:color w:val="FFFFFF" w:themeColor="background1"/>
              </w:rPr>
              <w:instrText xml:space="preserve"> PAGEREF _Toc236399579 \h </w:instrText>
            </w:r>
            <w:r w:rsidR="00BD6538" w:rsidRPr="00BD6538">
              <w:rPr>
                <w:noProof/>
                <w:webHidden/>
                <w:color w:val="FFFFFF" w:themeColor="background1"/>
              </w:rPr>
            </w:r>
            <w:r w:rsidR="00BD6538" w:rsidRPr="00BD6538">
              <w:rPr>
                <w:noProof/>
                <w:webHidden/>
                <w:color w:val="FFFFFF" w:themeColor="background1"/>
              </w:rPr>
              <w:fldChar w:fldCharType="separate"/>
            </w:r>
            <w:r w:rsidR="00BD6538" w:rsidRPr="00BD6538">
              <w:rPr>
                <w:noProof/>
                <w:webHidden/>
                <w:color w:val="FFFFFF" w:themeColor="background1"/>
              </w:rPr>
              <w:t>3</w:t>
            </w:r>
            <w:r w:rsidR="00BD6538" w:rsidRPr="00BD6538">
              <w:rPr>
                <w:noProof/>
                <w:webHidden/>
                <w:color w:val="FFFFFF" w:themeColor="background1"/>
              </w:rPr>
              <w:fldChar w:fldCharType="end"/>
            </w:r>
          </w:hyperlink>
        </w:p>
        <w:p w14:paraId="0A6D9560" w14:textId="13D19076" w:rsidR="00BD6538" w:rsidRPr="00BD6538" w:rsidRDefault="00BD6538">
          <w:pPr>
            <w:pStyle w:val="TOC1"/>
            <w:rPr>
              <w:rFonts w:eastAsiaTheme="minorEastAsia"/>
              <w:b w:val="0"/>
              <w:caps w:val="0"/>
              <w:noProof/>
              <w:color w:val="FFFFFF" w:themeColor="background1"/>
              <w:kern w:val="2"/>
              <w:szCs w:val="24"/>
              <w14:ligatures w14:val="standardContextual"/>
            </w:rPr>
          </w:pPr>
          <w:hyperlink w:anchor="_Toc236399580" w:history="1">
            <w:r w:rsidRPr="00BD6538">
              <w:rPr>
                <w:rStyle w:val="Hyperlink"/>
                <w:rFonts w:ascii="Plus Jakarta Sans" w:hAnsi="Plus Jakarta Sans"/>
                <w:noProof/>
                <w:color w:val="FFFFFF" w:themeColor="background1"/>
              </w:rPr>
              <w:t>The four possible operating modesl</w:t>
            </w:r>
            <w:r w:rsidRPr="00BD6538">
              <w:rPr>
                <w:noProof/>
                <w:webHidden/>
                <w:color w:val="FFFFFF" w:themeColor="background1"/>
              </w:rPr>
              <w:tab/>
            </w:r>
            <w:r w:rsidRPr="00BD6538">
              <w:rPr>
                <w:noProof/>
                <w:webHidden/>
                <w:color w:val="FFFFFF" w:themeColor="background1"/>
              </w:rPr>
              <w:fldChar w:fldCharType="begin"/>
            </w:r>
            <w:r w:rsidRPr="00BD6538">
              <w:rPr>
                <w:noProof/>
                <w:webHidden/>
                <w:color w:val="FFFFFF" w:themeColor="background1"/>
              </w:rPr>
              <w:instrText xml:space="preserve"> PAGEREF _Toc236399580 \h </w:instrText>
            </w:r>
            <w:r w:rsidRPr="00BD6538">
              <w:rPr>
                <w:noProof/>
                <w:webHidden/>
                <w:color w:val="FFFFFF" w:themeColor="background1"/>
              </w:rPr>
            </w:r>
            <w:r w:rsidRPr="00BD6538">
              <w:rPr>
                <w:noProof/>
                <w:webHidden/>
                <w:color w:val="FFFFFF" w:themeColor="background1"/>
              </w:rPr>
              <w:fldChar w:fldCharType="separate"/>
            </w:r>
            <w:r w:rsidRPr="00BD6538">
              <w:rPr>
                <w:noProof/>
                <w:webHidden/>
                <w:color w:val="FFFFFF" w:themeColor="background1"/>
              </w:rPr>
              <w:t>4</w:t>
            </w:r>
            <w:r w:rsidRPr="00BD6538">
              <w:rPr>
                <w:noProof/>
                <w:webHidden/>
                <w:color w:val="FFFFFF" w:themeColor="background1"/>
              </w:rPr>
              <w:fldChar w:fldCharType="end"/>
            </w:r>
          </w:hyperlink>
        </w:p>
        <w:p w14:paraId="29083EC5" w14:textId="324F8030" w:rsidR="00BD6538" w:rsidRPr="00BD6538" w:rsidRDefault="00BD6538">
          <w:pPr>
            <w:pStyle w:val="TOC1"/>
            <w:rPr>
              <w:rFonts w:eastAsiaTheme="minorEastAsia"/>
              <w:b w:val="0"/>
              <w:caps w:val="0"/>
              <w:noProof/>
              <w:color w:val="FFFFFF" w:themeColor="background1"/>
              <w:kern w:val="2"/>
              <w:szCs w:val="24"/>
              <w14:ligatures w14:val="standardContextual"/>
            </w:rPr>
          </w:pPr>
          <w:hyperlink w:anchor="_Toc236399581" w:history="1">
            <w:r w:rsidRPr="00BD6538">
              <w:rPr>
                <w:rStyle w:val="Hyperlink"/>
                <w:rFonts w:ascii="Plus Jakarta Sans" w:hAnsi="Plus Jakarta Sans"/>
                <w:noProof/>
                <w:color w:val="FFFFFF" w:themeColor="background1"/>
              </w:rPr>
              <w:t>Part 1: Market asssessment</w:t>
            </w:r>
            <w:r w:rsidRPr="00BD6538">
              <w:rPr>
                <w:noProof/>
                <w:webHidden/>
                <w:color w:val="FFFFFF" w:themeColor="background1"/>
              </w:rPr>
              <w:tab/>
            </w:r>
            <w:r w:rsidRPr="00BD6538">
              <w:rPr>
                <w:noProof/>
                <w:webHidden/>
                <w:color w:val="FFFFFF" w:themeColor="background1"/>
              </w:rPr>
              <w:fldChar w:fldCharType="begin"/>
            </w:r>
            <w:r w:rsidRPr="00BD6538">
              <w:rPr>
                <w:noProof/>
                <w:webHidden/>
                <w:color w:val="FFFFFF" w:themeColor="background1"/>
              </w:rPr>
              <w:instrText xml:space="preserve"> PAGEREF _Toc236399581 \h </w:instrText>
            </w:r>
            <w:r w:rsidRPr="00BD6538">
              <w:rPr>
                <w:noProof/>
                <w:webHidden/>
                <w:color w:val="FFFFFF" w:themeColor="background1"/>
              </w:rPr>
            </w:r>
            <w:r w:rsidRPr="00BD6538">
              <w:rPr>
                <w:noProof/>
                <w:webHidden/>
                <w:color w:val="FFFFFF" w:themeColor="background1"/>
              </w:rPr>
              <w:fldChar w:fldCharType="separate"/>
            </w:r>
            <w:r w:rsidRPr="00BD6538">
              <w:rPr>
                <w:noProof/>
                <w:webHidden/>
                <w:color w:val="FFFFFF" w:themeColor="background1"/>
              </w:rPr>
              <w:t>5</w:t>
            </w:r>
            <w:r w:rsidRPr="00BD6538">
              <w:rPr>
                <w:noProof/>
                <w:webHidden/>
                <w:color w:val="FFFFFF" w:themeColor="background1"/>
              </w:rPr>
              <w:fldChar w:fldCharType="end"/>
            </w:r>
          </w:hyperlink>
        </w:p>
        <w:p w14:paraId="3C5CDC90" w14:textId="1C51BB73" w:rsidR="00BD6538" w:rsidRPr="00BD6538" w:rsidRDefault="00BD6538">
          <w:pPr>
            <w:pStyle w:val="TOC1"/>
            <w:rPr>
              <w:rFonts w:eastAsiaTheme="minorEastAsia"/>
              <w:b w:val="0"/>
              <w:caps w:val="0"/>
              <w:noProof/>
              <w:color w:val="FFFFFF" w:themeColor="background1"/>
              <w:kern w:val="2"/>
              <w:szCs w:val="24"/>
              <w14:ligatures w14:val="standardContextual"/>
            </w:rPr>
          </w:pPr>
          <w:hyperlink w:anchor="_Toc236399582" w:history="1">
            <w:r w:rsidRPr="00BD6538">
              <w:rPr>
                <w:rStyle w:val="Hyperlink"/>
                <w:rFonts w:ascii="Plus Jakarta Sans" w:hAnsi="Plus Jakarta Sans"/>
                <w:noProof/>
                <w:color w:val="FFFFFF" w:themeColor="background1"/>
              </w:rPr>
              <w:t>Part 2: Readiness asssessment</w:t>
            </w:r>
            <w:r w:rsidRPr="00BD6538">
              <w:rPr>
                <w:noProof/>
                <w:webHidden/>
                <w:color w:val="FFFFFF" w:themeColor="background1"/>
              </w:rPr>
              <w:tab/>
            </w:r>
            <w:r w:rsidRPr="00BD6538">
              <w:rPr>
                <w:noProof/>
                <w:webHidden/>
                <w:color w:val="FFFFFF" w:themeColor="background1"/>
              </w:rPr>
              <w:fldChar w:fldCharType="begin"/>
            </w:r>
            <w:r w:rsidRPr="00BD6538">
              <w:rPr>
                <w:noProof/>
                <w:webHidden/>
                <w:color w:val="FFFFFF" w:themeColor="background1"/>
              </w:rPr>
              <w:instrText xml:space="preserve"> PAGEREF _Toc236399582 \h </w:instrText>
            </w:r>
            <w:r w:rsidRPr="00BD6538">
              <w:rPr>
                <w:noProof/>
                <w:webHidden/>
                <w:color w:val="FFFFFF" w:themeColor="background1"/>
              </w:rPr>
            </w:r>
            <w:r w:rsidRPr="00BD6538">
              <w:rPr>
                <w:noProof/>
                <w:webHidden/>
                <w:color w:val="FFFFFF" w:themeColor="background1"/>
              </w:rPr>
              <w:fldChar w:fldCharType="separate"/>
            </w:r>
            <w:r w:rsidRPr="00BD6538">
              <w:rPr>
                <w:noProof/>
                <w:webHidden/>
                <w:color w:val="FFFFFF" w:themeColor="background1"/>
              </w:rPr>
              <w:t>6</w:t>
            </w:r>
            <w:r w:rsidRPr="00BD6538">
              <w:rPr>
                <w:noProof/>
                <w:webHidden/>
                <w:color w:val="FFFFFF" w:themeColor="background1"/>
              </w:rPr>
              <w:fldChar w:fldCharType="end"/>
            </w:r>
          </w:hyperlink>
        </w:p>
        <w:p w14:paraId="518667B6" w14:textId="0334810B" w:rsidR="00BD6538" w:rsidRPr="00BD6538" w:rsidRDefault="00BD6538">
          <w:pPr>
            <w:pStyle w:val="TOC1"/>
            <w:rPr>
              <w:rFonts w:eastAsiaTheme="minorEastAsia"/>
              <w:b w:val="0"/>
              <w:caps w:val="0"/>
              <w:noProof/>
              <w:color w:val="FFFFFF" w:themeColor="background1"/>
              <w:kern w:val="2"/>
              <w:szCs w:val="24"/>
              <w14:ligatures w14:val="standardContextual"/>
            </w:rPr>
          </w:pPr>
          <w:hyperlink w:anchor="_Toc236399583" w:history="1">
            <w:r w:rsidRPr="00BD6538">
              <w:rPr>
                <w:rStyle w:val="Hyperlink"/>
                <w:rFonts w:ascii="Plus Jakarta Sans" w:hAnsi="Plus Jakarta Sans"/>
                <w:noProof/>
                <w:color w:val="FFFFFF" w:themeColor="background1"/>
              </w:rPr>
              <w:t>Part 3: Global vs. Local design matrix</w:t>
            </w:r>
            <w:r w:rsidRPr="00BD6538">
              <w:rPr>
                <w:noProof/>
                <w:webHidden/>
                <w:color w:val="FFFFFF" w:themeColor="background1"/>
              </w:rPr>
              <w:tab/>
            </w:r>
            <w:r w:rsidRPr="00BD6538">
              <w:rPr>
                <w:noProof/>
                <w:webHidden/>
                <w:color w:val="FFFFFF" w:themeColor="background1"/>
              </w:rPr>
              <w:fldChar w:fldCharType="begin"/>
            </w:r>
            <w:r w:rsidRPr="00BD6538">
              <w:rPr>
                <w:noProof/>
                <w:webHidden/>
                <w:color w:val="FFFFFF" w:themeColor="background1"/>
              </w:rPr>
              <w:instrText xml:space="preserve"> PAGEREF _Toc236399583 \h </w:instrText>
            </w:r>
            <w:r w:rsidRPr="00BD6538">
              <w:rPr>
                <w:noProof/>
                <w:webHidden/>
                <w:color w:val="FFFFFF" w:themeColor="background1"/>
              </w:rPr>
            </w:r>
            <w:r w:rsidRPr="00BD6538">
              <w:rPr>
                <w:noProof/>
                <w:webHidden/>
                <w:color w:val="FFFFFF" w:themeColor="background1"/>
              </w:rPr>
              <w:fldChar w:fldCharType="separate"/>
            </w:r>
            <w:r w:rsidRPr="00BD6538">
              <w:rPr>
                <w:noProof/>
                <w:webHidden/>
                <w:color w:val="FFFFFF" w:themeColor="background1"/>
              </w:rPr>
              <w:t>7</w:t>
            </w:r>
            <w:r w:rsidRPr="00BD6538">
              <w:rPr>
                <w:noProof/>
                <w:webHidden/>
                <w:color w:val="FFFFFF" w:themeColor="background1"/>
              </w:rPr>
              <w:fldChar w:fldCharType="end"/>
            </w:r>
          </w:hyperlink>
        </w:p>
        <w:p w14:paraId="2C45A46F" w14:textId="14A5ECCB" w:rsidR="00BD6538" w:rsidRPr="00BD6538" w:rsidRDefault="00BD6538">
          <w:pPr>
            <w:pStyle w:val="TOC1"/>
            <w:rPr>
              <w:rFonts w:eastAsiaTheme="minorEastAsia"/>
              <w:b w:val="0"/>
              <w:caps w:val="0"/>
              <w:noProof/>
              <w:color w:val="FFFFFF" w:themeColor="background1"/>
              <w:kern w:val="2"/>
              <w:szCs w:val="24"/>
              <w14:ligatures w14:val="standardContextual"/>
            </w:rPr>
          </w:pPr>
          <w:hyperlink w:anchor="_Toc236399584" w:history="1">
            <w:r w:rsidRPr="00BD6538">
              <w:rPr>
                <w:rStyle w:val="Hyperlink"/>
                <w:rFonts w:ascii="Plus Jakarta Sans" w:hAnsi="Plus Jakarta Sans"/>
                <w:noProof/>
                <w:color w:val="FFFFFF" w:themeColor="background1"/>
              </w:rPr>
              <w:t>Part 4: Select the program model</w:t>
            </w:r>
            <w:r w:rsidRPr="00BD6538">
              <w:rPr>
                <w:noProof/>
                <w:webHidden/>
                <w:color w:val="FFFFFF" w:themeColor="background1"/>
              </w:rPr>
              <w:tab/>
            </w:r>
            <w:r w:rsidRPr="00BD6538">
              <w:rPr>
                <w:noProof/>
                <w:webHidden/>
                <w:color w:val="FFFFFF" w:themeColor="background1"/>
              </w:rPr>
              <w:fldChar w:fldCharType="begin"/>
            </w:r>
            <w:r w:rsidRPr="00BD6538">
              <w:rPr>
                <w:noProof/>
                <w:webHidden/>
                <w:color w:val="FFFFFF" w:themeColor="background1"/>
              </w:rPr>
              <w:instrText xml:space="preserve"> PAGEREF _Toc236399584 \h </w:instrText>
            </w:r>
            <w:r w:rsidRPr="00BD6538">
              <w:rPr>
                <w:noProof/>
                <w:webHidden/>
                <w:color w:val="FFFFFF" w:themeColor="background1"/>
              </w:rPr>
            </w:r>
            <w:r w:rsidRPr="00BD6538">
              <w:rPr>
                <w:noProof/>
                <w:webHidden/>
                <w:color w:val="FFFFFF" w:themeColor="background1"/>
              </w:rPr>
              <w:fldChar w:fldCharType="separate"/>
            </w:r>
            <w:r w:rsidRPr="00BD6538">
              <w:rPr>
                <w:noProof/>
                <w:webHidden/>
                <w:color w:val="FFFFFF" w:themeColor="background1"/>
              </w:rPr>
              <w:t>8</w:t>
            </w:r>
            <w:r w:rsidRPr="00BD6538">
              <w:rPr>
                <w:noProof/>
                <w:webHidden/>
                <w:color w:val="FFFFFF" w:themeColor="background1"/>
              </w:rPr>
              <w:fldChar w:fldCharType="end"/>
            </w:r>
          </w:hyperlink>
        </w:p>
        <w:p w14:paraId="06C1FEB5" w14:textId="2AB381AE" w:rsidR="00BD6538" w:rsidRPr="00BD6538" w:rsidRDefault="00BD6538">
          <w:pPr>
            <w:pStyle w:val="TOC1"/>
            <w:rPr>
              <w:rFonts w:eastAsiaTheme="minorEastAsia"/>
              <w:b w:val="0"/>
              <w:caps w:val="0"/>
              <w:noProof/>
              <w:color w:val="FFFFFF" w:themeColor="background1"/>
              <w:kern w:val="2"/>
              <w:szCs w:val="24"/>
              <w14:ligatures w14:val="standardContextual"/>
            </w:rPr>
          </w:pPr>
          <w:hyperlink w:anchor="_Toc236399585" w:history="1">
            <w:r w:rsidRPr="00BD6538">
              <w:rPr>
                <w:rStyle w:val="Hyperlink"/>
                <w:rFonts w:ascii="Plus Jakarta Sans" w:hAnsi="Plus Jakarta Sans"/>
                <w:noProof/>
                <w:color w:val="FFFFFF" w:themeColor="background1"/>
              </w:rPr>
              <w:t>Part 5: Market recommendation summary</w:t>
            </w:r>
            <w:r w:rsidRPr="00BD6538">
              <w:rPr>
                <w:noProof/>
                <w:webHidden/>
                <w:color w:val="FFFFFF" w:themeColor="background1"/>
              </w:rPr>
              <w:tab/>
            </w:r>
            <w:r w:rsidRPr="00BD6538">
              <w:rPr>
                <w:noProof/>
                <w:webHidden/>
                <w:color w:val="FFFFFF" w:themeColor="background1"/>
              </w:rPr>
              <w:fldChar w:fldCharType="begin"/>
            </w:r>
            <w:r w:rsidRPr="00BD6538">
              <w:rPr>
                <w:noProof/>
                <w:webHidden/>
                <w:color w:val="FFFFFF" w:themeColor="background1"/>
              </w:rPr>
              <w:instrText xml:space="preserve"> PAGEREF _Toc236399585 \h </w:instrText>
            </w:r>
            <w:r w:rsidRPr="00BD6538">
              <w:rPr>
                <w:noProof/>
                <w:webHidden/>
                <w:color w:val="FFFFFF" w:themeColor="background1"/>
              </w:rPr>
            </w:r>
            <w:r w:rsidRPr="00BD6538">
              <w:rPr>
                <w:noProof/>
                <w:webHidden/>
                <w:color w:val="FFFFFF" w:themeColor="background1"/>
              </w:rPr>
              <w:fldChar w:fldCharType="separate"/>
            </w:r>
            <w:r w:rsidRPr="00BD6538">
              <w:rPr>
                <w:noProof/>
                <w:webHidden/>
                <w:color w:val="FFFFFF" w:themeColor="background1"/>
              </w:rPr>
              <w:t>9</w:t>
            </w:r>
            <w:r w:rsidRPr="00BD6538">
              <w:rPr>
                <w:noProof/>
                <w:webHidden/>
                <w:color w:val="FFFFFF" w:themeColor="background1"/>
              </w:rPr>
              <w:fldChar w:fldCharType="end"/>
            </w:r>
          </w:hyperlink>
        </w:p>
        <w:p w14:paraId="5B552B10" w14:textId="0B298AED" w:rsidR="00BD6538" w:rsidRPr="00BD6538" w:rsidRDefault="00BD6538">
          <w:pPr>
            <w:pStyle w:val="TOC1"/>
            <w:rPr>
              <w:rFonts w:eastAsiaTheme="minorEastAsia"/>
              <w:b w:val="0"/>
              <w:caps w:val="0"/>
              <w:noProof/>
              <w:color w:val="FFFFFF" w:themeColor="background1"/>
              <w:kern w:val="2"/>
              <w:szCs w:val="24"/>
              <w14:ligatures w14:val="standardContextual"/>
            </w:rPr>
          </w:pPr>
          <w:hyperlink w:anchor="_Toc236399586" w:history="1">
            <w:r w:rsidRPr="00BD6538">
              <w:rPr>
                <w:rStyle w:val="Hyperlink"/>
                <w:rFonts w:ascii="Plus Jakarta Sans" w:hAnsi="Plus Jakarta Sans"/>
                <w:noProof/>
                <w:color w:val="FFFFFF" w:themeColor="background1"/>
              </w:rPr>
              <w:t>From decision to design</w:t>
            </w:r>
            <w:r w:rsidRPr="00BD6538">
              <w:rPr>
                <w:noProof/>
                <w:webHidden/>
                <w:color w:val="FFFFFF" w:themeColor="background1"/>
              </w:rPr>
              <w:tab/>
            </w:r>
            <w:r w:rsidRPr="00BD6538">
              <w:rPr>
                <w:noProof/>
                <w:webHidden/>
                <w:color w:val="FFFFFF" w:themeColor="background1"/>
              </w:rPr>
              <w:fldChar w:fldCharType="begin"/>
            </w:r>
            <w:r w:rsidRPr="00BD6538">
              <w:rPr>
                <w:noProof/>
                <w:webHidden/>
                <w:color w:val="FFFFFF" w:themeColor="background1"/>
              </w:rPr>
              <w:instrText xml:space="preserve"> PAGEREF _Toc236399586 \h </w:instrText>
            </w:r>
            <w:r w:rsidRPr="00BD6538">
              <w:rPr>
                <w:noProof/>
                <w:webHidden/>
                <w:color w:val="FFFFFF" w:themeColor="background1"/>
              </w:rPr>
            </w:r>
            <w:r w:rsidRPr="00BD6538">
              <w:rPr>
                <w:noProof/>
                <w:webHidden/>
                <w:color w:val="FFFFFF" w:themeColor="background1"/>
              </w:rPr>
              <w:fldChar w:fldCharType="separate"/>
            </w:r>
            <w:r w:rsidRPr="00BD6538">
              <w:rPr>
                <w:noProof/>
                <w:webHidden/>
                <w:color w:val="FFFFFF" w:themeColor="background1"/>
              </w:rPr>
              <w:t>10</w:t>
            </w:r>
            <w:r w:rsidRPr="00BD6538">
              <w:rPr>
                <w:noProof/>
                <w:webHidden/>
                <w:color w:val="FFFFFF" w:themeColor="background1"/>
              </w:rPr>
              <w:fldChar w:fldCharType="end"/>
            </w:r>
          </w:hyperlink>
        </w:p>
        <w:p w14:paraId="08053B74" w14:textId="6D61DF53" w:rsidR="00AC1DE0" w:rsidRPr="00BD6538" w:rsidRDefault="00AC1DE0">
          <w:pPr>
            <w:rPr>
              <w:rFonts w:ascii="Plus Jakarta Sans" w:hAnsi="Plus Jakarta Sans"/>
              <w:color w:val="FFFFFF" w:themeColor="background1"/>
            </w:rPr>
          </w:pPr>
          <w:r w:rsidRPr="00BD6538">
            <w:rPr>
              <w:rFonts w:ascii="Plus Jakarta Sans" w:hAnsi="Plus Jakarta Sans"/>
              <w:b/>
              <w:bCs/>
              <w:noProof/>
              <w:color w:val="FFFFFF" w:themeColor="background1"/>
            </w:rPr>
            <w:fldChar w:fldCharType="end"/>
          </w:r>
        </w:p>
      </w:sdtContent>
    </w:sdt>
    <w:p w14:paraId="3BF71E94" w14:textId="77777777" w:rsidR="00A72250" w:rsidRDefault="00A72250" w:rsidP="00C13FA2">
      <w:pPr>
        <w:pStyle w:val="TextNormal"/>
        <w:spacing w:before="240" w:line="240" w:lineRule="auto"/>
      </w:pPr>
    </w:p>
    <w:p w14:paraId="125CDA5A" w14:textId="77777777" w:rsidR="00A72250" w:rsidRDefault="00A72250" w:rsidP="00C13FA2">
      <w:pPr>
        <w:pStyle w:val="TextNormal"/>
        <w:spacing w:before="240" w:line="240" w:lineRule="auto"/>
        <w:sectPr w:rsidR="00A72250" w:rsidSect="004818A2">
          <w:headerReference w:type="default" r:id="rId16"/>
          <w:footerReference w:type="default" r:id="rId17"/>
          <w:pgSz w:w="12240" w:h="15840" w:code="1"/>
          <w:pgMar w:top="1080" w:right="1080" w:bottom="1080" w:left="1080" w:header="720" w:footer="864" w:gutter="0"/>
          <w:cols w:space="720"/>
          <w:docGrid w:linePitch="360"/>
        </w:sectPr>
      </w:pPr>
    </w:p>
    <w:p w14:paraId="650C6A9E" w14:textId="206106F0" w:rsidR="00B829A5" w:rsidRDefault="00B829A5" w:rsidP="00016EF6">
      <w:pPr>
        <w:pStyle w:val="Head1"/>
        <w:spacing w:before="0" w:after="0" w:line="240" w:lineRule="auto"/>
        <w:contextualSpacing/>
        <w:rPr>
          <w:rFonts w:asciiTheme="minorHAnsi" w:hAnsiTheme="minorHAnsi"/>
        </w:rPr>
      </w:pPr>
    </w:p>
    <w:p w14:paraId="3ABEA671" w14:textId="6BE0CF17" w:rsidR="00B829A5" w:rsidRPr="00B829A5" w:rsidRDefault="00D41267" w:rsidP="00B829A5">
      <w:pPr>
        <w:rPr>
          <w:rFonts w:eastAsiaTheme="majorEastAsia" w:cstheme="majorBidi"/>
          <w:b/>
          <w:noProof/>
          <w:color w:val="1C1F38" w:themeColor="accent1"/>
          <w:sz w:val="32"/>
          <w:szCs w:val="32"/>
        </w:rPr>
      </w:pPr>
      <w:r w:rsidRPr="00384C81">
        <w:rPr>
          <w:noProof/>
        </w:rPr>
        <w:drawing>
          <wp:anchor distT="0" distB="0" distL="114300" distR="114300" simplePos="0" relativeHeight="251597824" behindDoc="0" locked="0" layoutInCell="1" allowOverlap="1" wp14:anchorId="07DD223E" wp14:editId="175292F9">
            <wp:simplePos x="0" y="0"/>
            <wp:positionH relativeFrom="margin">
              <wp:posOffset>0</wp:posOffset>
            </wp:positionH>
            <wp:positionV relativeFrom="paragraph">
              <wp:posOffset>6726393</wp:posOffset>
            </wp:positionV>
            <wp:extent cx="938151" cy="149637"/>
            <wp:effectExtent l="0" t="0" r="0" b="3175"/>
            <wp:wrapNone/>
            <wp:docPr id="20143145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2712CA56-FFE9-569C-AECF-133A4080DF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2712CA56-FFE9-569C-AECF-133A4080DF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938151" cy="149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29A5">
        <w:br w:type="page"/>
      </w:r>
    </w:p>
    <w:p w14:paraId="519B0A59" w14:textId="4B8952D8" w:rsidR="00A50D6D" w:rsidRPr="00BE7011" w:rsidRDefault="00687B12" w:rsidP="00A50D6D">
      <w:pPr>
        <w:pStyle w:val="Head1"/>
        <w:spacing w:before="0" w:after="0" w:line="240" w:lineRule="auto"/>
        <w:contextualSpacing/>
        <w:rPr>
          <w:rFonts w:ascii="Plus Jakarta Sans" w:hAnsi="Plus Jakarta Sans"/>
        </w:rPr>
      </w:pPr>
      <w:bookmarkStart w:id="0" w:name="_Toc236399579"/>
      <w:r w:rsidRPr="00BE7011">
        <w:rPr>
          <w:rFonts w:ascii="Plus Jakarta Sans" w:hAnsi="Plus Jakarta Sans"/>
        </w:rPr>
        <w:lastRenderedPageBreak/>
        <w:t>How to use this guide</w:t>
      </w:r>
      <w:bookmarkEnd w:id="0"/>
    </w:p>
    <w:p w14:paraId="43E8DCE3" w14:textId="77777777" w:rsidR="00A50D6D" w:rsidRPr="00AD003F" w:rsidRDefault="00A50D6D" w:rsidP="00A50D6D">
      <w:pPr>
        <w:pStyle w:val="BodyText1"/>
        <w:spacing w:before="0" w:line="240" w:lineRule="auto"/>
        <w:contextualSpacing/>
        <w:rPr>
          <w:rFonts w:cstheme="minorHAnsi"/>
          <w:sz w:val="21"/>
          <w:szCs w:val="21"/>
          <w:lang w:val="en-GB"/>
        </w:rPr>
      </w:pPr>
    </w:p>
    <w:p w14:paraId="31244453" w14:textId="77777777" w:rsidR="0008442B" w:rsidRPr="00881D7D" w:rsidRDefault="0008442B" w:rsidP="0008442B">
      <w:pPr>
        <w:spacing w:after="0" w:line="240" w:lineRule="auto"/>
        <w:contextualSpacing/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</w:pPr>
      <w:r w:rsidRPr="00881D7D"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  <w:t>Global loyalty is rarely a choice between one identical program everywhere and completely independent local programs. This workbook helps you find the right position on that spectrum for each market.</w:t>
      </w:r>
    </w:p>
    <w:p w14:paraId="7D0DCB00" w14:textId="77777777" w:rsidR="00735DD9" w:rsidRPr="00881D7D" w:rsidRDefault="00735DD9" w:rsidP="0008442B">
      <w:pPr>
        <w:spacing w:after="0" w:line="240" w:lineRule="auto"/>
        <w:contextualSpacing/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</w:pPr>
    </w:p>
    <w:p w14:paraId="575DFF0A" w14:textId="124CE012" w:rsidR="0008442B" w:rsidRPr="00881D7D" w:rsidRDefault="0008442B" w:rsidP="00F66947">
      <w:pPr>
        <w:pStyle w:val="ListParagraph"/>
        <w:numPr>
          <w:ilvl w:val="0"/>
          <w:numId w:val="19"/>
        </w:numPr>
        <w:contextualSpacing/>
        <w:rPr>
          <w:rFonts w:ascii="Plus Jakarta Sans" w:eastAsia="Plus Jakarta Sans" w:hAnsi="Plus Jakarta Sans" w:cs="Plus Jakarta Sans"/>
          <w:b/>
          <w:bCs/>
          <w:color w:val="000000" w:themeColor="text1"/>
          <w:sz w:val="24"/>
          <w:szCs w:val="24"/>
        </w:rPr>
      </w:pPr>
      <w:r w:rsidRPr="00881D7D">
        <w:rPr>
          <w:rFonts w:ascii="Plus Jakarta Sans" w:eastAsia="Plus Jakarta Sans" w:hAnsi="Plus Jakarta Sans" w:cs="Plus Jakarta Sans"/>
          <w:b/>
          <w:bCs/>
          <w:color w:val="000000" w:themeColor="text1"/>
          <w:sz w:val="24"/>
          <w:szCs w:val="24"/>
        </w:rPr>
        <w:t>Assess the market</w:t>
      </w:r>
    </w:p>
    <w:p w14:paraId="4C0E0922" w14:textId="77777777" w:rsidR="0008442B" w:rsidRPr="00881D7D" w:rsidRDefault="0008442B" w:rsidP="00F66947">
      <w:pPr>
        <w:pStyle w:val="ListParagraph"/>
        <w:ind w:left="720" w:firstLine="0"/>
        <w:contextualSpacing/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</w:pPr>
      <w:r w:rsidRPr="00881D7D"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  <w:t>Evaluate how similar customer expectations, brand experiences, channels, and loyalty behaviors are across markets.</w:t>
      </w:r>
    </w:p>
    <w:p w14:paraId="501AE187" w14:textId="77777777" w:rsidR="00F66947" w:rsidRPr="00881D7D" w:rsidRDefault="00F66947" w:rsidP="00F66947">
      <w:pPr>
        <w:pStyle w:val="ListParagraph"/>
        <w:ind w:left="720" w:firstLine="0"/>
        <w:contextualSpacing/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</w:pPr>
    </w:p>
    <w:p w14:paraId="518149C6" w14:textId="0FD52F21" w:rsidR="0008442B" w:rsidRPr="00881D7D" w:rsidRDefault="0008442B" w:rsidP="00F66947">
      <w:pPr>
        <w:pStyle w:val="ListParagraph"/>
        <w:numPr>
          <w:ilvl w:val="0"/>
          <w:numId w:val="19"/>
        </w:numPr>
        <w:contextualSpacing/>
        <w:rPr>
          <w:rFonts w:ascii="Plus Jakarta Sans" w:eastAsia="Plus Jakarta Sans" w:hAnsi="Plus Jakarta Sans" w:cs="Plus Jakarta Sans"/>
          <w:b/>
          <w:bCs/>
          <w:color w:val="000000" w:themeColor="text1"/>
          <w:sz w:val="24"/>
          <w:szCs w:val="24"/>
        </w:rPr>
      </w:pPr>
      <w:r w:rsidRPr="00881D7D">
        <w:rPr>
          <w:rFonts w:ascii="Plus Jakarta Sans" w:eastAsia="Plus Jakarta Sans" w:hAnsi="Plus Jakarta Sans" w:cs="Plus Jakarta Sans"/>
          <w:b/>
          <w:bCs/>
          <w:color w:val="000000" w:themeColor="text1"/>
          <w:sz w:val="24"/>
          <w:szCs w:val="24"/>
        </w:rPr>
        <w:t>Assess internal readiness</w:t>
      </w:r>
    </w:p>
    <w:p w14:paraId="67F80466" w14:textId="77777777" w:rsidR="0008442B" w:rsidRPr="00881D7D" w:rsidRDefault="0008442B" w:rsidP="00F66947">
      <w:pPr>
        <w:pStyle w:val="ListParagraph"/>
        <w:ind w:left="720" w:firstLine="0"/>
        <w:contextualSpacing/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</w:pPr>
      <w:r w:rsidRPr="00881D7D"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  <w:t>Determine whether your economics, technology, data, governance, and teams can support the preferred model.</w:t>
      </w:r>
    </w:p>
    <w:p w14:paraId="2D2BF364" w14:textId="77777777" w:rsidR="00F66947" w:rsidRPr="00881D7D" w:rsidRDefault="00F66947" w:rsidP="00F66947">
      <w:pPr>
        <w:pStyle w:val="ListParagraph"/>
        <w:ind w:left="720" w:firstLine="0"/>
        <w:contextualSpacing/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</w:pPr>
    </w:p>
    <w:p w14:paraId="30CDA43B" w14:textId="3528C9B7" w:rsidR="0008442B" w:rsidRPr="00881D7D" w:rsidRDefault="0008442B" w:rsidP="00F66947">
      <w:pPr>
        <w:pStyle w:val="ListParagraph"/>
        <w:numPr>
          <w:ilvl w:val="0"/>
          <w:numId w:val="19"/>
        </w:numPr>
        <w:contextualSpacing/>
        <w:rPr>
          <w:rFonts w:ascii="Plus Jakarta Sans" w:eastAsia="Plus Jakarta Sans" w:hAnsi="Plus Jakarta Sans" w:cs="Plus Jakarta Sans"/>
          <w:b/>
          <w:bCs/>
          <w:color w:val="000000" w:themeColor="text1"/>
          <w:sz w:val="24"/>
          <w:szCs w:val="24"/>
        </w:rPr>
      </w:pPr>
      <w:r w:rsidRPr="00881D7D">
        <w:rPr>
          <w:rFonts w:ascii="Plus Jakarta Sans" w:eastAsia="Plus Jakarta Sans" w:hAnsi="Plus Jakarta Sans" w:cs="Plus Jakarta Sans"/>
          <w:b/>
          <w:bCs/>
          <w:color w:val="000000" w:themeColor="text1"/>
          <w:sz w:val="24"/>
          <w:szCs w:val="24"/>
        </w:rPr>
        <w:t>Define global versus local ownership</w:t>
      </w:r>
    </w:p>
    <w:p w14:paraId="5C2249D8" w14:textId="77777777" w:rsidR="0008442B" w:rsidRPr="00881D7D" w:rsidRDefault="0008442B" w:rsidP="00F66947">
      <w:pPr>
        <w:pStyle w:val="ListParagraph"/>
        <w:ind w:left="720" w:firstLine="0"/>
        <w:contextualSpacing/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</w:pPr>
      <w:r w:rsidRPr="00881D7D"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  <w:t>Decide which program elements should be standardized, locally configured, locally owned, or jointly approved.</w:t>
      </w:r>
    </w:p>
    <w:p w14:paraId="4A7B67B6" w14:textId="77777777" w:rsidR="00F66947" w:rsidRPr="00881D7D" w:rsidRDefault="00F66947" w:rsidP="00F66947">
      <w:pPr>
        <w:pStyle w:val="ListParagraph"/>
        <w:ind w:left="720" w:firstLine="0"/>
        <w:contextualSpacing/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</w:pPr>
    </w:p>
    <w:p w14:paraId="2A77B837" w14:textId="1993AA4D" w:rsidR="0008442B" w:rsidRPr="00881D7D" w:rsidRDefault="0008442B" w:rsidP="00F66947">
      <w:pPr>
        <w:pStyle w:val="ListParagraph"/>
        <w:numPr>
          <w:ilvl w:val="0"/>
          <w:numId w:val="19"/>
        </w:numPr>
        <w:contextualSpacing/>
        <w:rPr>
          <w:rFonts w:ascii="Plus Jakarta Sans" w:eastAsia="Plus Jakarta Sans" w:hAnsi="Plus Jakarta Sans" w:cs="Plus Jakarta Sans"/>
          <w:b/>
          <w:bCs/>
          <w:color w:val="000000" w:themeColor="text1"/>
          <w:sz w:val="24"/>
          <w:szCs w:val="24"/>
        </w:rPr>
      </w:pPr>
      <w:r w:rsidRPr="00881D7D">
        <w:rPr>
          <w:rFonts w:ascii="Plus Jakarta Sans" w:eastAsia="Plus Jakarta Sans" w:hAnsi="Plus Jakarta Sans" w:cs="Plus Jakarta Sans"/>
          <w:b/>
          <w:bCs/>
          <w:color w:val="000000" w:themeColor="text1"/>
          <w:sz w:val="24"/>
          <w:szCs w:val="24"/>
        </w:rPr>
        <w:t>Select a program model</w:t>
      </w:r>
    </w:p>
    <w:p w14:paraId="4DE2DA2A" w14:textId="77777777" w:rsidR="0008442B" w:rsidRPr="00881D7D" w:rsidRDefault="0008442B" w:rsidP="00F66947">
      <w:pPr>
        <w:pStyle w:val="ListParagraph"/>
        <w:ind w:left="720" w:firstLine="0"/>
        <w:contextualSpacing/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</w:pPr>
      <w:r w:rsidRPr="00881D7D"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  <w:t>Use the results to identify the operating model that best balances scale with local relevance.</w:t>
      </w:r>
    </w:p>
    <w:p w14:paraId="5AEEFA74" w14:textId="77777777" w:rsidR="00F66947" w:rsidRPr="00881D7D" w:rsidRDefault="00F66947" w:rsidP="00F66947">
      <w:pPr>
        <w:pStyle w:val="ListParagraph"/>
        <w:ind w:left="720" w:firstLine="0"/>
        <w:contextualSpacing/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</w:pPr>
    </w:p>
    <w:p w14:paraId="12D86257" w14:textId="1AD920FF" w:rsidR="0008442B" w:rsidRPr="00881D7D" w:rsidRDefault="0008442B" w:rsidP="00F66947">
      <w:pPr>
        <w:pStyle w:val="ListParagraph"/>
        <w:numPr>
          <w:ilvl w:val="0"/>
          <w:numId w:val="19"/>
        </w:numPr>
        <w:contextualSpacing/>
        <w:rPr>
          <w:rFonts w:ascii="Plus Jakarta Sans" w:eastAsia="Plus Jakarta Sans" w:hAnsi="Plus Jakarta Sans" w:cs="Plus Jakarta Sans"/>
          <w:b/>
          <w:bCs/>
          <w:color w:val="000000" w:themeColor="text1"/>
          <w:sz w:val="24"/>
          <w:szCs w:val="24"/>
        </w:rPr>
      </w:pPr>
      <w:r w:rsidRPr="00881D7D">
        <w:rPr>
          <w:rFonts w:ascii="Plus Jakarta Sans" w:eastAsia="Plus Jakarta Sans" w:hAnsi="Plus Jakarta Sans" w:cs="Plus Jakarta Sans"/>
          <w:b/>
          <w:bCs/>
          <w:color w:val="000000" w:themeColor="text1"/>
          <w:sz w:val="24"/>
          <w:szCs w:val="24"/>
        </w:rPr>
        <w:t>Select a rollout model</w:t>
      </w:r>
    </w:p>
    <w:p w14:paraId="1241585C" w14:textId="77777777" w:rsidR="0008442B" w:rsidRPr="00881D7D" w:rsidRDefault="0008442B" w:rsidP="00F66947">
      <w:pPr>
        <w:pStyle w:val="ListParagraph"/>
        <w:ind w:left="720" w:firstLine="0"/>
        <w:contextualSpacing/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</w:pPr>
      <w:r w:rsidRPr="00881D7D"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  <w:t>Choose whether the market should use a global template, receive market-specific design, or launch through a crawl-walk-run approach.</w:t>
      </w:r>
    </w:p>
    <w:p w14:paraId="348C399E" w14:textId="0DD13F98" w:rsidR="00735DD9" w:rsidRPr="00881D7D" w:rsidRDefault="00735DD9" w:rsidP="00B12234">
      <w:pPr>
        <w:spacing w:after="0" w:line="240" w:lineRule="auto"/>
        <w:contextualSpacing/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</w:pPr>
    </w:p>
    <w:p w14:paraId="31AFAC0D" w14:textId="2F8171B4" w:rsidR="00735DD9" w:rsidRPr="00881D7D" w:rsidRDefault="004014E6" w:rsidP="00B12234">
      <w:pPr>
        <w:spacing w:after="0" w:line="240" w:lineRule="auto"/>
        <w:contextualSpacing/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</w:pPr>
      <w:r w:rsidRPr="00881D7D">
        <w:rPr>
          <w:rFonts w:ascii="Plus Jakarta Sans" w:hAnsi="Plus Jakarta Sans" w:cstheme="minorHAnsi"/>
          <w:noProof/>
          <w:color w:val="1C1F38" w:themeColor="accent1"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0A733E91" wp14:editId="5B39E9DF">
                <wp:simplePos x="0" y="0"/>
                <wp:positionH relativeFrom="page">
                  <wp:align>right</wp:align>
                </wp:positionH>
                <wp:positionV relativeFrom="paragraph">
                  <wp:posOffset>96520</wp:posOffset>
                </wp:positionV>
                <wp:extent cx="7761605" cy="1243013"/>
                <wp:effectExtent l="0" t="0" r="0" b="0"/>
                <wp:wrapNone/>
                <wp:docPr id="793843929" name="Rectangle 793843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1605" cy="124301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BE562F" id="Rectangle 793843929" o:spid="_x0000_s1026" style="position:absolute;margin-left:559.95pt;margin-top:7.6pt;width:611.15pt;height:97.9pt;z-index:-2515927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S/RcwIAAGMFAAAOAAAAZHJzL2Uyb0RvYy54bWysVG1P2zAQ/j5p/8Hy95GkFNgqUlSBmCYh&#10;QMDEZ+PYJJLj885u0+7X7+y8lAHapGn94J59z709ubvTs21r2Eahb8CWvDjIOVNWQtXY55J/f7j8&#10;9JkzH4SthAGrSr5Tnp8tP3447dxCzaAGUylk5MT6RedKXofgFlnmZa1a4Q/AKUtKDdiKQFd8zioU&#10;HXlvTTbL8+OsA6wcglTe0+tFr+TL5F9rJcON1l4FZkpOuYV0Yjqf4pktT8XiGYWrGzmkIf4hi1Y0&#10;loJOri5EEGyNzRtXbSMRPOhwIKHNQOtGqlQDVVPkr6q5r4VTqRYix7uJJv//3Mrrzb27RaKhc37h&#10;SYxVbDW28Z/yY9tE1m4iS20Dk/R4cnJcHOdHnEnSFbP5YV4cRjqzvblDH74qaFkUSo70NRJJYnPl&#10;Qw8dITGaB9NUl40x6RI7QJ0bZBtB305IqWwohgC/IY2NeAvRsncaX7J9PUkKO6Miztg7pVlTUQWz&#10;lExqtbeBUg61qFQf/yin3xh9TC0VmxxGtKb4k+/iT777LAd8NFWpUyfj/O/Gk0WKDDZMxm1jAd9z&#10;YCb6dI8fSeqpiSw9QbW7RYbQz4l38rKhT3clfLgVSINBI0TDHm7o0Aa6ksMgcVYD/nzvPeKpX0nL&#10;WUeDVnL/Yy1QcWa+WerkL8V8HiczXeZHJzO64EvN00uNXbfnQP1Q0FpxMokRH8woaoT2kXbCKkYl&#10;lbCSYpdcBhwv56FfALRVpFqtEoym0YlwZe+djM4jq7E1H7aPAt3Qv4Fa/xrGoRSLV23cY6OlhdU6&#10;gG5Sj+95HfimSU6NM2yduCpe3hNqvxuXvwAAAP//AwBQSwMEFAAGAAgAAAAhAFilB2/fAAAACAEA&#10;AA8AAABkcnMvZG93bnJldi54bWxMj81uwjAQhO+VeAdrkbgVJ476oxAHISQuqKrUUA69mXiJ08br&#10;KDYh7dPXnNrj7KxmvinWk+3YiINvHUlIlwkwpNrplhoJ74fd/TMwHxRp1TlCCd/oYV3O7gqVa3el&#10;Nxyr0LAYQj5XEkwIfc65rw1a5ZeuR4re2Q1WhSiHhutBXWO47bhIkkduVUuxwagetwbrr+piJew/&#10;n7LKjJvxJ3vFo3HHl4/d1ku5mE+bFbCAU/h7hht+RIcyMp3chbRnnYQ4JMTrgwB2c4UQGbCTBJGm&#10;CfCy4P8HlL8AAAD//wMAUEsBAi0AFAAGAAgAAAAhALaDOJL+AAAA4QEAABMAAAAAAAAAAAAAAAAA&#10;AAAAAFtDb250ZW50X1R5cGVzXS54bWxQSwECLQAUAAYACAAAACEAOP0h/9YAAACUAQAACwAAAAAA&#10;AAAAAAAAAAAvAQAAX3JlbHMvLnJlbHNQSwECLQAUAAYACAAAACEAsbkv0XMCAABjBQAADgAAAAAA&#10;AAAAAAAAAAAuAgAAZHJzL2Uyb0RvYy54bWxQSwECLQAUAAYACAAAACEAWKUHb98AAAAIAQAADwAA&#10;AAAAAAAAAAAAAADNBAAAZHJzL2Rvd25yZXYueG1sUEsFBgAAAAAEAAQA8wAAANkFAAAAAA==&#10;" fillcolor="#1c1f38 [3204]" stroked="f" strokeweight="1pt">
                <w10:wrap anchorx="page"/>
              </v:rect>
            </w:pict>
          </mc:Fallback>
        </mc:AlternateContent>
      </w:r>
    </w:p>
    <w:p w14:paraId="7A62388E" w14:textId="312E6E17" w:rsidR="0096426F" w:rsidRPr="00881D7D" w:rsidRDefault="00735DD9" w:rsidP="00B12234">
      <w:pPr>
        <w:spacing w:after="0" w:line="240" w:lineRule="auto"/>
        <w:contextualSpacing/>
        <w:rPr>
          <w:rFonts w:ascii="Plus Jakarta Sans" w:eastAsia="Plus Jakarta Sans" w:hAnsi="Plus Jakarta Sans" w:cs="Plus Jakarta Sans"/>
          <w:b/>
          <w:bCs/>
          <w:color w:val="FFFFFF" w:themeColor="background1"/>
          <w:sz w:val="24"/>
          <w:szCs w:val="24"/>
        </w:rPr>
      </w:pPr>
      <w:r w:rsidRPr="00881D7D">
        <w:rPr>
          <w:rFonts w:ascii="Plus Jakarta Sans" w:eastAsia="Plus Jakarta Sans" w:hAnsi="Plus Jakarta Sans" w:cs="Plus Jakarta Sans"/>
          <w:b/>
          <w:bCs/>
          <w:color w:val="FFFFFF" w:themeColor="background1"/>
          <w:sz w:val="24"/>
          <w:szCs w:val="24"/>
        </w:rPr>
        <w:t>Scoring note</w:t>
      </w:r>
    </w:p>
    <w:p w14:paraId="38120793" w14:textId="52621E7F" w:rsidR="00AD48AF" w:rsidRPr="00881D7D" w:rsidRDefault="00AD48AF" w:rsidP="00B12234">
      <w:pPr>
        <w:spacing w:after="0" w:line="240" w:lineRule="auto"/>
        <w:contextualSpacing/>
        <w:rPr>
          <w:rFonts w:ascii="Plus Jakarta Sans" w:eastAsia="Plus Jakarta Sans" w:hAnsi="Plus Jakarta Sans" w:cs="Plus Jakarta Sans"/>
          <w:color w:val="FFFFFF" w:themeColor="background1"/>
          <w:sz w:val="24"/>
          <w:szCs w:val="24"/>
        </w:rPr>
      </w:pPr>
      <w:r w:rsidRPr="00881D7D">
        <w:rPr>
          <w:rFonts w:ascii="Plus Jakarta Sans" w:eastAsia="Plus Jakarta Sans" w:hAnsi="Plus Jakarta Sans" w:cs="Plus Jakarta Sans"/>
          <w:color w:val="FFFFFF" w:themeColor="background1"/>
          <w:sz w:val="24"/>
          <w:szCs w:val="24"/>
        </w:rPr>
        <w:t xml:space="preserve">Use the scores as a directional recommendation, not an automatic answer. A material regulatory, economic, or technology constraint may outweigh the average. For a more thorough evaluation, </w:t>
      </w:r>
      <w:hyperlink r:id="rId19" w:history="1">
        <w:r w:rsidRPr="00881D7D">
          <w:rPr>
            <w:rStyle w:val="Hyperlink"/>
            <w:rFonts w:ascii="Plus Jakarta Sans" w:eastAsia="Plus Jakarta Sans" w:hAnsi="Plus Jakarta Sans" w:cs="Plus Jakarta Sans"/>
            <w:b/>
            <w:bCs/>
            <w:color w:val="F58E61" w:themeColor="accent4"/>
            <w:sz w:val="24"/>
            <w:szCs w:val="24"/>
          </w:rPr>
          <w:t>we’d love to talk with you</w:t>
        </w:r>
      </w:hyperlink>
      <w:r w:rsidRPr="00881D7D">
        <w:rPr>
          <w:rFonts w:ascii="Plus Jakarta Sans" w:eastAsia="Plus Jakarta Sans" w:hAnsi="Plus Jakarta Sans" w:cs="Plus Jakarta Sans"/>
          <w:color w:val="F58E61" w:themeColor="accent4"/>
          <w:sz w:val="24"/>
          <w:szCs w:val="24"/>
        </w:rPr>
        <w:t>.</w:t>
      </w:r>
    </w:p>
    <w:p w14:paraId="14BF3BAE" w14:textId="4E4ABAAE" w:rsidR="00735DD9" w:rsidRPr="00881D7D" w:rsidRDefault="00735DD9" w:rsidP="00B12234">
      <w:pPr>
        <w:spacing w:after="0" w:line="240" w:lineRule="auto"/>
        <w:contextualSpacing/>
        <w:rPr>
          <w:rFonts w:ascii="Plus Jakarta Sans" w:eastAsia="Plus Jakarta Sans" w:hAnsi="Plus Jakarta Sans" w:cs="Plus Jakarta Sans"/>
          <w:color w:val="000000" w:themeColor="text1"/>
          <w:sz w:val="24"/>
          <w:szCs w:val="24"/>
        </w:rPr>
      </w:pPr>
    </w:p>
    <w:p w14:paraId="792CC376" w14:textId="18897340" w:rsidR="00232153" w:rsidRPr="00881D7D" w:rsidRDefault="00232153" w:rsidP="00B12234">
      <w:pPr>
        <w:spacing w:after="0" w:line="240" w:lineRule="auto"/>
        <w:rPr>
          <w:rFonts w:cstheme="minorHAnsi"/>
          <w:noProof/>
          <w:sz w:val="24"/>
          <w:szCs w:val="24"/>
        </w:rPr>
      </w:pPr>
    </w:p>
    <w:p w14:paraId="471D0473" w14:textId="77777777" w:rsidR="00735DD9" w:rsidRDefault="00735DD9" w:rsidP="00B12234">
      <w:pPr>
        <w:spacing w:after="0" w:line="240" w:lineRule="auto"/>
        <w:rPr>
          <w:rFonts w:cstheme="minorHAnsi"/>
          <w:noProof/>
          <w:sz w:val="21"/>
          <w:szCs w:val="21"/>
        </w:rPr>
      </w:pPr>
    </w:p>
    <w:p w14:paraId="2BDAADD4" w14:textId="74401863" w:rsidR="00735DD9" w:rsidRDefault="00735DD9" w:rsidP="00B12234">
      <w:pPr>
        <w:spacing w:after="0" w:line="240" w:lineRule="auto"/>
        <w:rPr>
          <w:rFonts w:cstheme="minorHAnsi"/>
          <w:noProof/>
          <w:sz w:val="21"/>
          <w:szCs w:val="21"/>
        </w:rPr>
      </w:pPr>
    </w:p>
    <w:p w14:paraId="49DD9E19" w14:textId="77777777" w:rsidR="0008442B" w:rsidRDefault="0008442B" w:rsidP="00B12234">
      <w:pPr>
        <w:spacing w:after="0" w:line="240" w:lineRule="auto"/>
        <w:rPr>
          <w:rFonts w:cstheme="minorHAnsi"/>
          <w:noProof/>
          <w:sz w:val="21"/>
          <w:szCs w:val="21"/>
        </w:rPr>
      </w:pPr>
    </w:p>
    <w:p w14:paraId="607F44B7" w14:textId="77777777" w:rsidR="00D118D4" w:rsidRDefault="00D118D4" w:rsidP="00B12234">
      <w:pPr>
        <w:spacing w:after="0" w:line="240" w:lineRule="auto"/>
        <w:rPr>
          <w:rFonts w:cstheme="minorHAnsi"/>
          <w:noProof/>
          <w:sz w:val="21"/>
          <w:szCs w:val="21"/>
        </w:rPr>
      </w:pPr>
    </w:p>
    <w:p w14:paraId="6CBCB9BA" w14:textId="77777777" w:rsidR="00D118D4" w:rsidRDefault="00D118D4" w:rsidP="00B12234">
      <w:pPr>
        <w:spacing w:after="0" w:line="240" w:lineRule="auto"/>
        <w:rPr>
          <w:rFonts w:cstheme="minorHAnsi"/>
          <w:noProof/>
          <w:sz w:val="21"/>
          <w:szCs w:val="21"/>
        </w:rPr>
      </w:pPr>
    </w:p>
    <w:p w14:paraId="45FC8062" w14:textId="77777777" w:rsidR="00D118D4" w:rsidRDefault="00D118D4" w:rsidP="00B12234">
      <w:pPr>
        <w:spacing w:after="0" w:line="240" w:lineRule="auto"/>
        <w:rPr>
          <w:rFonts w:cstheme="minorHAnsi"/>
          <w:noProof/>
          <w:sz w:val="21"/>
          <w:szCs w:val="21"/>
        </w:rPr>
      </w:pPr>
    </w:p>
    <w:p w14:paraId="68C1DF62" w14:textId="77777777" w:rsidR="00D118D4" w:rsidRDefault="00D118D4" w:rsidP="00B12234">
      <w:pPr>
        <w:spacing w:after="0" w:line="240" w:lineRule="auto"/>
        <w:rPr>
          <w:rFonts w:cstheme="minorHAnsi"/>
          <w:noProof/>
          <w:sz w:val="21"/>
          <w:szCs w:val="21"/>
        </w:rPr>
      </w:pPr>
    </w:p>
    <w:p w14:paraId="517A23BF" w14:textId="77777777" w:rsidR="00D118D4" w:rsidRDefault="00D118D4" w:rsidP="00B12234">
      <w:pPr>
        <w:spacing w:after="0" w:line="240" w:lineRule="auto"/>
        <w:rPr>
          <w:rFonts w:cstheme="minorHAnsi"/>
          <w:noProof/>
          <w:sz w:val="21"/>
          <w:szCs w:val="21"/>
        </w:rPr>
      </w:pPr>
    </w:p>
    <w:p w14:paraId="62437977" w14:textId="77777777" w:rsidR="00D118D4" w:rsidRDefault="00D118D4" w:rsidP="00B12234">
      <w:pPr>
        <w:spacing w:after="0" w:line="240" w:lineRule="auto"/>
        <w:rPr>
          <w:rFonts w:cstheme="minorHAnsi"/>
          <w:noProof/>
          <w:sz w:val="21"/>
          <w:szCs w:val="21"/>
        </w:rPr>
      </w:pPr>
    </w:p>
    <w:p w14:paraId="44CB3230" w14:textId="77777777" w:rsidR="00D118D4" w:rsidRDefault="00D118D4" w:rsidP="00B12234">
      <w:pPr>
        <w:spacing w:after="0" w:line="240" w:lineRule="auto"/>
        <w:rPr>
          <w:rFonts w:cstheme="minorHAnsi"/>
          <w:noProof/>
          <w:sz w:val="21"/>
          <w:szCs w:val="21"/>
        </w:rPr>
      </w:pPr>
    </w:p>
    <w:p w14:paraId="42CB9B91" w14:textId="77777777" w:rsidR="00D118D4" w:rsidRDefault="00D118D4" w:rsidP="00B12234">
      <w:pPr>
        <w:spacing w:after="0" w:line="240" w:lineRule="auto"/>
        <w:rPr>
          <w:rFonts w:cstheme="minorHAnsi"/>
          <w:noProof/>
          <w:sz w:val="21"/>
          <w:szCs w:val="21"/>
        </w:rPr>
      </w:pPr>
    </w:p>
    <w:p w14:paraId="33FFBA16" w14:textId="1272B5EF" w:rsidR="000E4B2D" w:rsidRPr="00BE7011" w:rsidRDefault="00F347DB" w:rsidP="000E4B2D">
      <w:pPr>
        <w:pStyle w:val="Head1"/>
        <w:spacing w:before="0" w:after="0" w:line="240" w:lineRule="auto"/>
        <w:contextualSpacing/>
        <w:rPr>
          <w:rFonts w:ascii="Plus Jakarta Sans" w:hAnsi="Plus Jakarta Sans"/>
        </w:rPr>
      </w:pPr>
      <w:bookmarkStart w:id="1" w:name="_Toc236399580"/>
      <w:r w:rsidRPr="00BE7011">
        <w:rPr>
          <w:rFonts w:ascii="Plus Jakarta Sans" w:hAnsi="Plus Jakarta Sans"/>
        </w:rPr>
        <w:t>The four possible operating modesl</w:t>
      </w:r>
      <w:bookmarkEnd w:id="1"/>
    </w:p>
    <w:p w14:paraId="54F688B2" w14:textId="77777777" w:rsidR="00D118D4" w:rsidRDefault="00D118D4" w:rsidP="00B12234">
      <w:pPr>
        <w:spacing w:after="0" w:line="240" w:lineRule="auto"/>
        <w:rPr>
          <w:rFonts w:cstheme="minorHAnsi"/>
          <w:noProof/>
          <w:sz w:val="21"/>
          <w:szCs w:val="21"/>
        </w:rPr>
      </w:pPr>
    </w:p>
    <w:p w14:paraId="7722B782" w14:textId="77777777" w:rsidR="00D118D4" w:rsidRDefault="00D118D4" w:rsidP="00B12234">
      <w:pPr>
        <w:spacing w:after="0" w:line="240" w:lineRule="auto"/>
        <w:rPr>
          <w:rFonts w:cstheme="minorHAnsi"/>
          <w:noProof/>
          <w:sz w:val="21"/>
          <w:szCs w:val="21"/>
        </w:rPr>
      </w:pPr>
    </w:p>
    <w:tbl>
      <w:tblPr>
        <w:tblW w:w="0" w:type="auto"/>
        <w:jc w:val="center"/>
        <w:tblBorders>
          <w:top w:val="single" w:sz="0" w:space="0" w:color="DDEFE6"/>
          <w:left w:val="single" w:sz="0" w:space="0" w:color="DDEFE6"/>
          <w:bottom w:val="single" w:sz="0" w:space="0" w:color="DDEFE6"/>
          <w:right w:val="single" w:sz="0" w:space="0" w:color="DDEFE6"/>
          <w:insideH w:val="single" w:sz="0" w:space="0" w:color="DDEFE6"/>
          <w:insideV w:val="single" w:sz="0" w:space="0" w:color="DDEFE6"/>
        </w:tblBorders>
        <w:tblLook w:val="04A0" w:firstRow="1" w:lastRow="0" w:firstColumn="1" w:lastColumn="0" w:noHBand="0" w:noVBand="1"/>
      </w:tblPr>
      <w:tblGrid>
        <w:gridCol w:w="10080"/>
      </w:tblGrid>
      <w:tr w:rsidR="002F71BE" w:rsidRPr="00881D7D" w14:paraId="08B894CD" w14:textId="77777777" w:rsidTr="002F71BE">
        <w:trPr>
          <w:cantSplit/>
          <w:jc w:val="center"/>
        </w:trPr>
        <w:tc>
          <w:tcPr>
            <w:tcW w:w="10224" w:type="dxa"/>
            <w:shd w:val="clear" w:color="auto" w:fill="A21B55" w:themeFill="accent6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3E21D4B" w14:textId="77777777" w:rsidR="002F71BE" w:rsidRPr="00881D7D" w:rsidRDefault="002F71BE" w:rsidP="00324000">
            <w:pPr>
              <w:spacing w:after="40" w:line="252" w:lineRule="auto"/>
              <w:rPr>
                <w:rFonts w:ascii="Plus Jakarta Sans" w:hAnsi="Plus Jakarta Sans"/>
                <w:color w:val="FFFFFF" w:themeColor="background1"/>
                <w:sz w:val="24"/>
                <w:szCs w:val="24"/>
              </w:rPr>
            </w:pPr>
            <w:r w:rsidRPr="00881D7D">
              <w:rPr>
                <w:rFonts w:ascii="Plus Jakarta Sans" w:hAnsi="Plus Jakarta Sans"/>
                <w:b/>
                <w:color w:val="FFFFFF" w:themeColor="background1"/>
                <w:sz w:val="24"/>
                <w:szCs w:val="24"/>
              </w:rPr>
              <w:t>1. Global standard</w:t>
            </w:r>
          </w:p>
          <w:p w14:paraId="748AB7C2" w14:textId="77777777" w:rsidR="002F71BE" w:rsidRPr="00881D7D" w:rsidRDefault="002F71BE" w:rsidP="00324000">
            <w:pPr>
              <w:spacing w:after="0" w:line="252" w:lineRule="auto"/>
              <w:rPr>
                <w:rFonts w:ascii="Plus Jakarta Sans" w:hAnsi="Plus Jakarta Sans"/>
                <w:sz w:val="24"/>
                <w:szCs w:val="24"/>
              </w:rPr>
            </w:pPr>
            <w:r w:rsidRPr="00881D7D">
              <w:rPr>
                <w:rFonts w:ascii="Plus Jakarta Sans" w:hAnsi="Plus Jakarta Sans"/>
                <w:color w:val="FFFFFF" w:themeColor="background1"/>
                <w:sz w:val="24"/>
                <w:szCs w:val="24"/>
              </w:rPr>
              <w:t>One largely consistent loyalty program across markets, with localization limited to language, currency, legal requirements, and essential operational changes.</w:t>
            </w:r>
          </w:p>
        </w:tc>
      </w:tr>
    </w:tbl>
    <w:p w14:paraId="2C3131C0" w14:textId="77777777" w:rsidR="002F71BE" w:rsidRPr="00881D7D" w:rsidRDefault="002F71BE" w:rsidP="002F71BE">
      <w:pPr>
        <w:spacing w:after="0"/>
        <w:rPr>
          <w:rFonts w:ascii="Plus Jakarta Sans" w:hAnsi="Plus Jakarta Sans"/>
          <w:sz w:val="24"/>
          <w:szCs w:val="24"/>
        </w:rPr>
      </w:pPr>
    </w:p>
    <w:tbl>
      <w:tblPr>
        <w:tblW w:w="0" w:type="auto"/>
        <w:jc w:val="center"/>
        <w:tblBorders>
          <w:top w:val="single" w:sz="0" w:space="0" w:color="E8F4F5"/>
          <w:left w:val="single" w:sz="0" w:space="0" w:color="E8F4F5"/>
          <w:bottom w:val="single" w:sz="0" w:space="0" w:color="E8F4F5"/>
          <w:right w:val="single" w:sz="0" w:space="0" w:color="E8F4F5"/>
          <w:insideH w:val="single" w:sz="0" w:space="0" w:color="E8F4F5"/>
          <w:insideV w:val="single" w:sz="0" w:space="0" w:color="E8F4F5"/>
        </w:tblBorders>
        <w:tblLook w:val="04A0" w:firstRow="1" w:lastRow="0" w:firstColumn="1" w:lastColumn="0" w:noHBand="0" w:noVBand="1"/>
      </w:tblPr>
      <w:tblGrid>
        <w:gridCol w:w="10080"/>
      </w:tblGrid>
      <w:tr w:rsidR="002F71BE" w:rsidRPr="00881D7D" w14:paraId="59098849" w14:textId="77777777" w:rsidTr="002F71BE">
        <w:trPr>
          <w:cantSplit/>
          <w:jc w:val="center"/>
        </w:trPr>
        <w:tc>
          <w:tcPr>
            <w:tcW w:w="10224" w:type="dxa"/>
            <w:shd w:val="clear" w:color="auto" w:fill="E91768" w:themeFill="accent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64E4BD8" w14:textId="77777777" w:rsidR="002F71BE" w:rsidRPr="00881D7D" w:rsidRDefault="002F71BE" w:rsidP="00324000">
            <w:pPr>
              <w:spacing w:after="40" w:line="252" w:lineRule="auto"/>
              <w:rPr>
                <w:rFonts w:ascii="Plus Jakarta Sans" w:hAnsi="Plus Jakarta Sans"/>
                <w:color w:val="FFFFFF" w:themeColor="background1"/>
                <w:sz w:val="24"/>
                <w:szCs w:val="24"/>
              </w:rPr>
            </w:pPr>
            <w:r w:rsidRPr="00881D7D">
              <w:rPr>
                <w:rFonts w:ascii="Plus Jakarta Sans" w:hAnsi="Plus Jakarta Sans"/>
                <w:b/>
                <w:color w:val="FFFFFF" w:themeColor="background1"/>
                <w:sz w:val="24"/>
                <w:szCs w:val="24"/>
              </w:rPr>
              <w:t>2. Global framework with local configuration</w:t>
            </w:r>
          </w:p>
          <w:p w14:paraId="34C0870B" w14:textId="77777777" w:rsidR="002F71BE" w:rsidRPr="00881D7D" w:rsidRDefault="002F71BE" w:rsidP="00324000">
            <w:pPr>
              <w:spacing w:after="0" w:line="252" w:lineRule="auto"/>
              <w:rPr>
                <w:rFonts w:ascii="Plus Jakarta Sans" w:hAnsi="Plus Jakarta Sans"/>
                <w:color w:val="FFFFFF" w:themeColor="background1"/>
                <w:sz w:val="24"/>
                <w:szCs w:val="24"/>
              </w:rPr>
            </w:pPr>
            <w:r w:rsidRPr="00881D7D">
              <w:rPr>
                <w:rFonts w:ascii="Plus Jakarta Sans" w:hAnsi="Plus Jakarta Sans"/>
                <w:color w:val="FFFFFF" w:themeColor="background1"/>
                <w:sz w:val="24"/>
                <w:szCs w:val="24"/>
              </w:rPr>
              <w:t>One strategic, technical, and data foundation, with clearly defined elements configured by market. This is the most common fit for global brands.</w:t>
            </w:r>
          </w:p>
        </w:tc>
      </w:tr>
    </w:tbl>
    <w:p w14:paraId="5DBE49CF" w14:textId="77777777" w:rsidR="002F71BE" w:rsidRPr="00881D7D" w:rsidRDefault="002F71BE" w:rsidP="002F71BE">
      <w:pPr>
        <w:spacing w:after="0"/>
        <w:rPr>
          <w:rFonts w:ascii="Plus Jakarta Sans" w:hAnsi="Plus Jakarta Sans"/>
          <w:sz w:val="24"/>
          <w:szCs w:val="24"/>
        </w:rPr>
      </w:pPr>
    </w:p>
    <w:tbl>
      <w:tblPr>
        <w:tblW w:w="0" w:type="auto"/>
        <w:jc w:val="center"/>
        <w:tblBorders>
          <w:top w:val="single" w:sz="0" w:space="0" w:color="F5E8C9"/>
          <w:left w:val="single" w:sz="0" w:space="0" w:color="F5E8C9"/>
          <w:bottom w:val="single" w:sz="0" w:space="0" w:color="F5E8C9"/>
          <w:right w:val="single" w:sz="0" w:space="0" w:color="F5E8C9"/>
          <w:insideH w:val="single" w:sz="0" w:space="0" w:color="F5E8C9"/>
          <w:insideV w:val="single" w:sz="0" w:space="0" w:color="F5E8C9"/>
        </w:tblBorders>
        <w:tblLook w:val="04A0" w:firstRow="1" w:lastRow="0" w:firstColumn="1" w:lastColumn="0" w:noHBand="0" w:noVBand="1"/>
      </w:tblPr>
      <w:tblGrid>
        <w:gridCol w:w="10080"/>
      </w:tblGrid>
      <w:tr w:rsidR="002F71BE" w:rsidRPr="00881D7D" w14:paraId="1C5E26DE" w14:textId="77777777" w:rsidTr="002F71BE">
        <w:trPr>
          <w:cantSplit/>
          <w:jc w:val="center"/>
        </w:trPr>
        <w:tc>
          <w:tcPr>
            <w:tcW w:w="10224" w:type="dxa"/>
            <w:shd w:val="clear" w:color="auto" w:fill="EF5459" w:themeFill="accent5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8227C9D" w14:textId="77777777" w:rsidR="002F71BE" w:rsidRPr="00881D7D" w:rsidRDefault="002F71BE" w:rsidP="00324000">
            <w:pPr>
              <w:spacing w:after="40" w:line="252" w:lineRule="auto"/>
              <w:rPr>
                <w:rFonts w:ascii="Plus Jakarta Sans" w:hAnsi="Plus Jakarta Sans"/>
                <w:color w:val="FFFFFF" w:themeColor="background1"/>
                <w:sz w:val="24"/>
                <w:szCs w:val="24"/>
              </w:rPr>
            </w:pPr>
            <w:r w:rsidRPr="00881D7D">
              <w:rPr>
                <w:rFonts w:ascii="Plus Jakarta Sans" w:hAnsi="Plus Jakarta Sans"/>
                <w:b/>
                <w:color w:val="FFFFFF" w:themeColor="background1"/>
                <w:sz w:val="24"/>
                <w:szCs w:val="24"/>
              </w:rPr>
              <w:t>3. Regional programs within global guardrails</w:t>
            </w:r>
          </w:p>
          <w:p w14:paraId="0E137AE4" w14:textId="77777777" w:rsidR="002F71BE" w:rsidRPr="00881D7D" w:rsidRDefault="002F71BE" w:rsidP="00324000">
            <w:pPr>
              <w:spacing w:after="0" w:line="252" w:lineRule="auto"/>
              <w:rPr>
                <w:rFonts w:ascii="Plus Jakarta Sans" w:hAnsi="Plus Jakarta Sans"/>
                <w:color w:val="FFFFFF" w:themeColor="background1"/>
                <w:sz w:val="24"/>
                <w:szCs w:val="24"/>
              </w:rPr>
            </w:pPr>
            <w:r w:rsidRPr="00881D7D">
              <w:rPr>
                <w:rFonts w:ascii="Plus Jakarta Sans" w:hAnsi="Plus Jakarta Sans"/>
                <w:color w:val="FFFFFF" w:themeColor="background1"/>
                <w:sz w:val="24"/>
                <w:szCs w:val="24"/>
              </w:rPr>
              <w:t>Regions have meaningful ownership over program design and execution while following shared standards for brand, technology, data, economics, and measurement.</w:t>
            </w:r>
          </w:p>
        </w:tc>
      </w:tr>
    </w:tbl>
    <w:p w14:paraId="6305C24D" w14:textId="77777777" w:rsidR="002F71BE" w:rsidRPr="00881D7D" w:rsidRDefault="002F71BE" w:rsidP="002F71BE">
      <w:pPr>
        <w:spacing w:after="0"/>
        <w:rPr>
          <w:rFonts w:ascii="Plus Jakarta Sans" w:hAnsi="Plus Jakarta Sans"/>
          <w:sz w:val="24"/>
          <w:szCs w:val="24"/>
        </w:rPr>
      </w:pPr>
    </w:p>
    <w:tbl>
      <w:tblPr>
        <w:tblW w:w="0" w:type="auto"/>
        <w:jc w:val="center"/>
        <w:tblBorders>
          <w:top w:val="single" w:sz="0" w:space="0" w:color="F5E0DE"/>
          <w:left w:val="single" w:sz="0" w:space="0" w:color="F5E0DE"/>
          <w:bottom w:val="single" w:sz="0" w:space="0" w:color="F5E0DE"/>
          <w:right w:val="single" w:sz="0" w:space="0" w:color="F5E0DE"/>
          <w:insideH w:val="single" w:sz="0" w:space="0" w:color="F5E0DE"/>
          <w:insideV w:val="single" w:sz="0" w:space="0" w:color="F5E0DE"/>
        </w:tblBorders>
        <w:tblLook w:val="04A0" w:firstRow="1" w:lastRow="0" w:firstColumn="1" w:lastColumn="0" w:noHBand="0" w:noVBand="1"/>
      </w:tblPr>
      <w:tblGrid>
        <w:gridCol w:w="10080"/>
      </w:tblGrid>
      <w:tr w:rsidR="002F71BE" w:rsidRPr="00881D7D" w14:paraId="6C3F2008" w14:textId="77777777" w:rsidTr="002F71BE">
        <w:trPr>
          <w:cantSplit/>
          <w:jc w:val="center"/>
        </w:trPr>
        <w:tc>
          <w:tcPr>
            <w:tcW w:w="10224" w:type="dxa"/>
            <w:shd w:val="clear" w:color="auto" w:fill="F58E61" w:themeFill="accent4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EFBF1E4" w14:textId="77777777" w:rsidR="002F71BE" w:rsidRPr="00881D7D" w:rsidRDefault="002F71BE" w:rsidP="00324000">
            <w:pPr>
              <w:spacing w:after="40" w:line="252" w:lineRule="auto"/>
              <w:rPr>
                <w:rFonts w:ascii="Plus Jakarta Sans" w:hAnsi="Plus Jakarta Sans"/>
                <w:color w:val="FFFFFF" w:themeColor="background1"/>
                <w:sz w:val="24"/>
                <w:szCs w:val="24"/>
              </w:rPr>
            </w:pPr>
            <w:r w:rsidRPr="00881D7D">
              <w:rPr>
                <w:rFonts w:ascii="Plus Jakarta Sans" w:hAnsi="Plus Jakarta Sans"/>
                <w:b/>
                <w:color w:val="FFFFFF" w:themeColor="background1"/>
                <w:sz w:val="24"/>
                <w:szCs w:val="24"/>
              </w:rPr>
              <w:t>4. Market-specific program</w:t>
            </w:r>
          </w:p>
          <w:p w14:paraId="527BA393" w14:textId="77777777" w:rsidR="002F71BE" w:rsidRPr="00881D7D" w:rsidRDefault="002F71BE" w:rsidP="00324000">
            <w:pPr>
              <w:spacing w:after="0" w:line="252" w:lineRule="auto"/>
              <w:rPr>
                <w:rFonts w:ascii="Plus Jakarta Sans" w:hAnsi="Plus Jakarta Sans"/>
                <w:color w:val="FFFFFF" w:themeColor="background1"/>
                <w:sz w:val="24"/>
                <w:szCs w:val="24"/>
              </w:rPr>
            </w:pPr>
            <w:r w:rsidRPr="00881D7D">
              <w:rPr>
                <w:rFonts w:ascii="Plus Jakarta Sans" w:hAnsi="Plus Jakarta Sans"/>
                <w:color w:val="FFFFFF" w:themeColor="background1"/>
                <w:sz w:val="24"/>
                <w:szCs w:val="24"/>
              </w:rPr>
              <w:t>A distinct program is designed for a strategically important and highly differentiated market. This should generally be the exception, not the default.</w:t>
            </w:r>
          </w:p>
        </w:tc>
      </w:tr>
    </w:tbl>
    <w:p w14:paraId="4CBCC6BF" w14:textId="77777777" w:rsidR="002F71BE" w:rsidRPr="00881D7D" w:rsidRDefault="002F71BE" w:rsidP="002F71BE">
      <w:pPr>
        <w:spacing w:after="0"/>
        <w:rPr>
          <w:sz w:val="24"/>
          <w:szCs w:val="24"/>
        </w:rPr>
      </w:pPr>
    </w:p>
    <w:p w14:paraId="01216056" w14:textId="77777777" w:rsidR="002F71BE" w:rsidRDefault="002F71BE" w:rsidP="002F71BE">
      <w:r>
        <w:br w:type="page"/>
      </w:r>
    </w:p>
    <w:p w14:paraId="362A8BB0" w14:textId="5644078F" w:rsidR="00BE7011" w:rsidRPr="00BE7011" w:rsidRDefault="00BE7011" w:rsidP="00BE7011">
      <w:pPr>
        <w:pStyle w:val="Head1"/>
        <w:spacing w:before="0" w:after="0" w:line="240" w:lineRule="auto"/>
        <w:contextualSpacing/>
        <w:rPr>
          <w:rFonts w:ascii="Plus Jakarta Sans" w:hAnsi="Plus Jakarta Sans"/>
        </w:rPr>
      </w:pPr>
      <w:bookmarkStart w:id="2" w:name="_Toc236399581"/>
      <w:r>
        <w:rPr>
          <w:rFonts w:ascii="Plus Jakarta Sans" w:hAnsi="Plus Jakarta Sans"/>
        </w:rPr>
        <w:lastRenderedPageBreak/>
        <w:t>Part 1: Market asssessment</w:t>
      </w:r>
      <w:bookmarkEnd w:id="2"/>
    </w:p>
    <w:p w14:paraId="7C776C7B" w14:textId="77777777" w:rsidR="00D118D4" w:rsidRPr="00B97F43" w:rsidRDefault="00D118D4" w:rsidP="00B97F43">
      <w:pPr>
        <w:spacing w:after="0" w:line="240" w:lineRule="auto"/>
        <w:contextualSpacing/>
        <w:rPr>
          <w:rFonts w:cstheme="minorHAnsi"/>
          <w:noProof/>
          <w:sz w:val="24"/>
          <w:szCs w:val="24"/>
        </w:rPr>
      </w:pPr>
    </w:p>
    <w:p w14:paraId="0515556E" w14:textId="53500123" w:rsidR="00123791" w:rsidRDefault="00807C1E" w:rsidP="00B97F43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24"/>
          <w:szCs w:val="24"/>
        </w:rPr>
      </w:pPr>
      <w:r>
        <w:rPr>
          <w:rFonts w:ascii="Plus Jakarta Sans" w:hAnsi="Plus Jakarta Sans"/>
          <w:color w:val="000000" w:themeColor="text1"/>
          <w:sz w:val="24"/>
          <w:szCs w:val="24"/>
        </w:rPr>
        <w:t xml:space="preserve">After identifying the market </w:t>
      </w:r>
      <w:r w:rsidR="00C406F0">
        <w:rPr>
          <w:rFonts w:ascii="Plus Jakarta Sans" w:hAnsi="Plus Jakarta Sans"/>
          <w:color w:val="000000" w:themeColor="text1"/>
          <w:sz w:val="24"/>
          <w:szCs w:val="24"/>
        </w:rPr>
        <w:t>you are considering for loyalty, s</w:t>
      </w:r>
      <w:r w:rsidR="00123791" w:rsidRPr="00123791">
        <w:rPr>
          <w:rFonts w:ascii="Plus Jakarta Sans" w:hAnsi="Plus Jakarta Sans"/>
          <w:color w:val="000000" w:themeColor="text1"/>
          <w:sz w:val="24"/>
          <w:szCs w:val="24"/>
        </w:rPr>
        <w:t xml:space="preserve">core each statement from 1 to 5 based on how much the market </w:t>
      </w:r>
      <w:proofErr w:type="gramStart"/>
      <w:r w:rsidR="00123791" w:rsidRPr="00123791">
        <w:rPr>
          <w:rFonts w:ascii="Plus Jakarta Sans" w:hAnsi="Plus Jakarta Sans"/>
          <w:color w:val="000000" w:themeColor="text1"/>
          <w:sz w:val="24"/>
          <w:szCs w:val="24"/>
        </w:rPr>
        <w:t>differ</w:t>
      </w:r>
      <w:proofErr w:type="gramEnd"/>
      <w:r w:rsidR="00123791" w:rsidRPr="00123791">
        <w:rPr>
          <w:rFonts w:ascii="Plus Jakarta Sans" w:hAnsi="Plus Jakarta Sans"/>
          <w:color w:val="000000" w:themeColor="text1"/>
          <w:sz w:val="24"/>
          <w:szCs w:val="24"/>
        </w:rPr>
        <w:t xml:space="preserve"> from the </w:t>
      </w:r>
      <w:r w:rsidR="00C406F0">
        <w:rPr>
          <w:rFonts w:ascii="Plus Jakarta Sans" w:hAnsi="Plus Jakarta Sans"/>
          <w:color w:val="000000" w:themeColor="text1"/>
          <w:sz w:val="24"/>
          <w:szCs w:val="24"/>
        </w:rPr>
        <w:t>core</w:t>
      </w:r>
      <w:r w:rsidR="00123791" w:rsidRPr="00123791">
        <w:rPr>
          <w:rFonts w:ascii="Plus Jakarta Sans" w:hAnsi="Plus Jakarta Sans"/>
          <w:color w:val="000000" w:themeColor="text1"/>
          <w:sz w:val="24"/>
          <w:szCs w:val="24"/>
        </w:rPr>
        <w:t xml:space="preserve"> of the brand. Complete this assessment for each priority market.</w:t>
      </w:r>
    </w:p>
    <w:p w14:paraId="68324E38" w14:textId="77777777" w:rsidR="00B97F43" w:rsidRPr="00123791" w:rsidRDefault="00B97F43" w:rsidP="00B97F43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24"/>
          <w:szCs w:val="24"/>
        </w:rPr>
      </w:pPr>
    </w:p>
    <w:p w14:paraId="549053EA" w14:textId="2204BA30" w:rsidR="00B97F43" w:rsidRPr="003B7BAF" w:rsidRDefault="00123791" w:rsidP="00B97F43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18"/>
        </w:rPr>
      </w:pPr>
      <w:r w:rsidRPr="00123791">
        <w:rPr>
          <w:rFonts w:ascii="Plus Jakarta Sans" w:hAnsi="Plus Jakarta Sans"/>
          <w:b/>
          <w:color w:val="000000" w:themeColor="text1"/>
          <w:sz w:val="19"/>
        </w:rPr>
        <w:t xml:space="preserve">Scoring scale: </w:t>
      </w:r>
      <w:r w:rsidRPr="00123791">
        <w:rPr>
          <w:rFonts w:ascii="Plus Jakarta Sans" w:hAnsi="Plus Jakarta Sans"/>
          <w:color w:val="000000" w:themeColor="text1"/>
          <w:sz w:val="18"/>
        </w:rPr>
        <w:t xml:space="preserve">1 = highly </w:t>
      </w:r>
      <w:proofErr w:type="gramStart"/>
      <w:r w:rsidRPr="00123791">
        <w:rPr>
          <w:rFonts w:ascii="Plus Jakarta Sans" w:hAnsi="Plus Jakarta Sans"/>
          <w:color w:val="000000" w:themeColor="text1"/>
          <w:sz w:val="18"/>
        </w:rPr>
        <w:t>consistent  |</w:t>
      </w:r>
      <w:proofErr w:type="gramEnd"/>
      <w:r w:rsidRPr="00123791">
        <w:rPr>
          <w:rFonts w:ascii="Plus Jakarta Sans" w:hAnsi="Plus Jakarta Sans"/>
          <w:color w:val="000000" w:themeColor="text1"/>
          <w:sz w:val="18"/>
        </w:rPr>
        <w:t xml:space="preserve">  2 = mostly </w:t>
      </w:r>
      <w:proofErr w:type="gramStart"/>
      <w:r w:rsidRPr="00123791">
        <w:rPr>
          <w:rFonts w:ascii="Plus Jakarta Sans" w:hAnsi="Plus Jakarta Sans"/>
          <w:color w:val="000000" w:themeColor="text1"/>
          <w:sz w:val="18"/>
        </w:rPr>
        <w:t>consistent  |</w:t>
      </w:r>
      <w:proofErr w:type="gramEnd"/>
      <w:r w:rsidRPr="00123791">
        <w:rPr>
          <w:rFonts w:ascii="Plus Jakarta Sans" w:hAnsi="Plus Jakarta Sans"/>
          <w:color w:val="000000" w:themeColor="text1"/>
          <w:sz w:val="18"/>
        </w:rPr>
        <w:t xml:space="preserve">  3 = meaningful </w:t>
      </w:r>
      <w:proofErr w:type="gramStart"/>
      <w:r w:rsidRPr="00123791">
        <w:rPr>
          <w:rFonts w:ascii="Plus Jakarta Sans" w:hAnsi="Plus Jakarta Sans"/>
          <w:color w:val="000000" w:themeColor="text1"/>
          <w:sz w:val="18"/>
        </w:rPr>
        <w:t>differences  |</w:t>
      </w:r>
      <w:proofErr w:type="gramEnd"/>
      <w:r w:rsidRPr="00123791">
        <w:rPr>
          <w:rFonts w:ascii="Plus Jakarta Sans" w:hAnsi="Plus Jakarta Sans"/>
          <w:color w:val="000000" w:themeColor="text1"/>
          <w:sz w:val="18"/>
        </w:rPr>
        <w:t xml:space="preserve">  4 = significant </w:t>
      </w:r>
      <w:proofErr w:type="gramStart"/>
      <w:r w:rsidRPr="00123791">
        <w:rPr>
          <w:rFonts w:ascii="Plus Jakarta Sans" w:hAnsi="Plus Jakarta Sans"/>
          <w:color w:val="000000" w:themeColor="text1"/>
          <w:sz w:val="18"/>
        </w:rPr>
        <w:t>differences  |</w:t>
      </w:r>
      <w:proofErr w:type="gramEnd"/>
      <w:r w:rsidRPr="00123791">
        <w:rPr>
          <w:rFonts w:ascii="Plus Jakarta Sans" w:hAnsi="Plus Jakarta Sans"/>
          <w:color w:val="000000" w:themeColor="text1"/>
          <w:sz w:val="18"/>
        </w:rPr>
        <w:t xml:space="preserve">  5 = market-specific conditions dominate</w:t>
      </w:r>
    </w:p>
    <w:tbl>
      <w:tblPr>
        <w:tblW w:w="0" w:type="auto"/>
        <w:jc w:val="center"/>
        <w:tblBorders>
          <w:top w:val="single" w:sz="4" w:space="0" w:color="D6E1E8"/>
          <w:left w:val="single" w:sz="4" w:space="0" w:color="D6E1E8"/>
          <w:bottom w:val="single" w:sz="4" w:space="0" w:color="D6E1E8"/>
          <w:right w:val="single" w:sz="4" w:space="0" w:color="D6E1E8"/>
          <w:insideH w:val="single" w:sz="4" w:space="0" w:color="D6E1E8"/>
          <w:insideV w:val="single" w:sz="4" w:space="0" w:color="D6E1E8"/>
        </w:tblBorders>
        <w:tblLook w:val="04A0" w:firstRow="1" w:lastRow="0" w:firstColumn="1" w:lastColumn="0" w:noHBand="0" w:noVBand="1"/>
      </w:tblPr>
      <w:tblGrid>
        <w:gridCol w:w="1656"/>
        <w:gridCol w:w="2736"/>
        <w:gridCol w:w="2304"/>
        <w:gridCol w:w="2520"/>
        <w:gridCol w:w="792"/>
      </w:tblGrid>
      <w:tr w:rsidR="00123791" w:rsidRPr="00123791" w14:paraId="021FB3A5" w14:textId="77777777" w:rsidTr="00123791">
        <w:trPr>
          <w:cantSplit/>
          <w:tblHeader/>
          <w:jc w:val="center"/>
        </w:trPr>
        <w:tc>
          <w:tcPr>
            <w:tcW w:w="1656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F5FD0FC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123791">
              <w:rPr>
                <w:rFonts w:ascii="Plus Jakarta Sans" w:hAnsi="Plus Jakarta Sans"/>
                <w:b/>
                <w:color w:val="FFFFFF"/>
                <w:sz w:val="18"/>
              </w:rPr>
              <w:t>Assessment area</w:t>
            </w:r>
          </w:p>
        </w:tc>
        <w:tc>
          <w:tcPr>
            <w:tcW w:w="2736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9E12F0A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123791">
              <w:rPr>
                <w:rFonts w:ascii="Plus Jakarta Sans" w:hAnsi="Plus Jakarta Sans"/>
                <w:b/>
                <w:color w:val="FFFFFF"/>
                <w:sz w:val="18"/>
              </w:rPr>
              <w:t>Question</w:t>
            </w:r>
          </w:p>
        </w:tc>
        <w:tc>
          <w:tcPr>
            <w:tcW w:w="2304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ED63DCB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123791">
              <w:rPr>
                <w:rFonts w:ascii="Plus Jakarta Sans" w:hAnsi="Plus Jakarta Sans"/>
                <w:b/>
                <w:color w:val="FFFFFF"/>
                <w:sz w:val="18"/>
              </w:rPr>
              <w:t>Global signal</w:t>
            </w:r>
          </w:p>
        </w:tc>
        <w:tc>
          <w:tcPr>
            <w:tcW w:w="2520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C0D6034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123791">
              <w:rPr>
                <w:rFonts w:ascii="Plus Jakarta Sans" w:hAnsi="Plus Jakarta Sans"/>
                <w:b/>
                <w:color w:val="FFFFFF"/>
                <w:sz w:val="18"/>
              </w:rPr>
              <w:t>Local signal</w:t>
            </w:r>
          </w:p>
        </w:tc>
        <w:tc>
          <w:tcPr>
            <w:tcW w:w="792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8305AFF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123791">
              <w:rPr>
                <w:rFonts w:ascii="Plus Jakarta Sans" w:hAnsi="Plus Jakarta Sans"/>
                <w:b/>
                <w:color w:val="FFFFFF"/>
                <w:sz w:val="18"/>
              </w:rPr>
              <w:t>Score</w:t>
            </w:r>
            <w:r w:rsidRPr="00123791">
              <w:rPr>
                <w:rFonts w:ascii="Plus Jakarta Sans" w:hAnsi="Plus Jakarta Sans"/>
                <w:b/>
                <w:color w:val="FFFFFF"/>
                <w:sz w:val="18"/>
              </w:rPr>
              <w:br/>
              <w:t>1–5</w:t>
            </w:r>
          </w:p>
        </w:tc>
      </w:tr>
      <w:tr w:rsidR="00123791" w:rsidRPr="00123791" w14:paraId="32C9B5D4" w14:textId="77777777" w:rsidTr="00324000">
        <w:trPr>
          <w:cantSplit/>
          <w:jc w:val="center"/>
        </w:trPr>
        <w:tc>
          <w:tcPr>
            <w:tcW w:w="165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53B6D9A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Loyalty objectives</w:t>
            </w:r>
          </w:p>
        </w:tc>
        <w:tc>
          <w:tcPr>
            <w:tcW w:w="273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3E86A51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Are the primary objectives for loyalty consistent across markets?</w:t>
            </w:r>
          </w:p>
        </w:tc>
        <w:tc>
          <w:tcPr>
            <w:tcW w:w="230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64366D7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Markets focus on similar outcomes.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2CD0F8A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Markets prioritize acquisition, retention, frequency, data, or margin differently.</w:t>
            </w:r>
          </w:p>
        </w:tc>
        <w:tc>
          <w:tcPr>
            <w:tcW w:w="792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FD9D4E9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  <w:tr w:rsidR="00123791" w:rsidRPr="00123791" w14:paraId="19DE6C45" w14:textId="77777777" w:rsidTr="00324000">
        <w:trPr>
          <w:cantSplit/>
          <w:jc w:val="center"/>
        </w:trPr>
        <w:tc>
          <w:tcPr>
            <w:tcW w:w="165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F5165EC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Customer expectations</w:t>
            </w:r>
          </w:p>
        </w:tc>
        <w:tc>
          <w:tcPr>
            <w:tcW w:w="273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0BFFBC1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Do customers expect similar value from loyalty?</w:t>
            </w:r>
          </w:p>
        </w:tc>
        <w:tc>
          <w:tcPr>
            <w:tcW w:w="230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02A000C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Similar interest in points, rewards, recognition, and access.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6507340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Reward expectations and motivations vary significantly.</w:t>
            </w:r>
          </w:p>
        </w:tc>
        <w:tc>
          <w:tcPr>
            <w:tcW w:w="792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7621C24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  <w:tr w:rsidR="00123791" w:rsidRPr="00123791" w14:paraId="3D869FA1" w14:textId="77777777" w:rsidTr="00324000">
        <w:trPr>
          <w:cantSplit/>
          <w:jc w:val="center"/>
        </w:trPr>
        <w:tc>
          <w:tcPr>
            <w:tcW w:w="165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4EC48B8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Brand experience</w:t>
            </w:r>
          </w:p>
        </w:tc>
        <w:tc>
          <w:tcPr>
            <w:tcW w:w="273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7AE706A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Do customers experience the brand similarly?</w:t>
            </w:r>
          </w:p>
        </w:tc>
        <w:tc>
          <w:tcPr>
            <w:tcW w:w="230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A1B8DD6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Products, positioning, pricing, and service are broadly consistent.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E1D4A59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Assortment, pricing, positioning, or service varies.</w:t>
            </w:r>
          </w:p>
        </w:tc>
        <w:tc>
          <w:tcPr>
            <w:tcW w:w="792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4B9F8B3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  <w:tr w:rsidR="00123791" w:rsidRPr="00123791" w14:paraId="69FD9528" w14:textId="77777777" w:rsidTr="00324000">
        <w:trPr>
          <w:cantSplit/>
          <w:jc w:val="center"/>
        </w:trPr>
        <w:tc>
          <w:tcPr>
            <w:tcW w:w="165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0A6AA98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Customer journey</w:t>
            </w:r>
          </w:p>
        </w:tc>
        <w:tc>
          <w:tcPr>
            <w:tcW w:w="273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4EB7185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Do customers engage through similar journeys and channels?</w:t>
            </w:r>
          </w:p>
        </w:tc>
        <w:tc>
          <w:tcPr>
            <w:tcW w:w="230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76ECF2A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Comparable store, ecommerce, app, and service experiences.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10E3B8D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Channel access and usage differ significantly.</w:t>
            </w:r>
          </w:p>
        </w:tc>
        <w:tc>
          <w:tcPr>
            <w:tcW w:w="792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A0F5A06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  <w:tr w:rsidR="00123791" w:rsidRPr="00123791" w14:paraId="27D4432D" w14:textId="77777777" w:rsidTr="00324000">
        <w:trPr>
          <w:cantSplit/>
          <w:jc w:val="center"/>
        </w:trPr>
        <w:tc>
          <w:tcPr>
            <w:tcW w:w="165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0501ED6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Cross-border behavior</w:t>
            </w:r>
          </w:p>
        </w:tc>
        <w:tc>
          <w:tcPr>
            <w:tcW w:w="273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CBBC285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Do customers regularly engage with the brand internationally?</w:t>
            </w:r>
          </w:p>
        </w:tc>
        <w:tc>
          <w:tcPr>
            <w:tcW w:w="230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A224CCC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Status, balances, and recognition need to travel.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0E8F7D8" w14:textId="3591211D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 xml:space="preserve">Most customers </w:t>
            </w:r>
            <w:r w:rsidR="007653CA">
              <w:rPr>
                <w:rFonts w:ascii="Plus Jakarta Sans" w:hAnsi="Plus Jakarta Sans"/>
                <w:color w:val="000000" w:themeColor="text1"/>
                <w:sz w:val="15"/>
              </w:rPr>
              <w:t>shop the brand</w:t>
            </w: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 xml:space="preserve"> within one market</w:t>
            </w:r>
            <w:r w:rsidR="007653CA">
              <w:rPr>
                <w:rFonts w:ascii="Plus Jakarta Sans" w:hAnsi="Plus Jakarta Sans"/>
                <w:color w:val="000000" w:themeColor="text1"/>
                <w:sz w:val="15"/>
              </w:rPr>
              <w:t xml:space="preserve"> / market of origin</w:t>
            </w: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.</w:t>
            </w:r>
          </w:p>
        </w:tc>
        <w:tc>
          <w:tcPr>
            <w:tcW w:w="792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478C2C2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  <w:tr w:rsidR="00123791" w:rsidRPr="00123791" w14:paraId="1473943D" w14:textId="77777777" w:rsidTr="00324000">
        <w:trPr>
          <w:cantSplit/>
          <w:jc w:val="center"/>
        </w:trPr>
        <w:tc>
          <w:tcPr>
            <w:tcW w:w="165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521EB40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Category maturity</w:t>
            </w:r>
          </w:p>
        </w:tc>
        <w:tc>
          <w:tcPr>
            <w:tcW w:w="273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14ABEE4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Are loyalty expectations within the category similar?</w:t>
            </w:r>
          </w:p>
        </w:tc>
        <w:tc>
          <w:tcPr>
            <w:tcW w:w="230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B8A21B5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Competitive loyalty environments are comparable.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D3BFC10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Some markets are significantly more mature than others.</w:t>
            </w:r>
          </w:p>
        </w:tc>
        <w:tc>
          <w:tcPr>
            <w:tcW w:w="792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141CD73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  <w:tr w:rsidR="00123791" w:rsidRPr="00123791" w14:paraId="1FE14D58" w14:textId="77777777" w:rsidTr="00324000">
        <w:trPr>
          <w:cantSplit/>
          <w:jc w:val="center"/>
        </w:trPr>
        <w:tc>
          <w:tcPr>
            <w:tcW w:w="165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10AAB5F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Promotional behavior</w:t>
            </w:r>
          </w:p>
        </w:tc>
        <w:tc>
          <w:tcPr>
            <w:tcW w:w="273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15D32BB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Are promotional expectations and calendars consistent?</w:t>
            </w:r>
          </w:p>
        </w:tc>
        <w:tc>
          <w:tcPr>
            <w:tcW w:w="230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F6FF3E4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Similar promotional rhythm and value expectations.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4EC685E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Local holidays, discounting, and seasonal patterns dominate.</w:t>
            </w:r>
          </w:p>
        </w:tc>
        <w:tc>
          <w:tcPr>
            <w:tcW w:w="792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C6CAACC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  <w:tr w:rsidR="00123791" w:rsidRPr="00123791" w14:paraId="4527FB82" w14:textId="77777777" w:rsidTr="00324000">
        <w:trPr>
          <w:cantSplit/>
          <w:jc w:val="center"/>
        </w:trPr>
        <w:tc>
          <w:tcPr>
            <w:tcW w:w="165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160FEEA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Reward relevance</w:t>
            </w:r>
          </w:p>
        </w:tc>
        <w:tc>
          <w:tcPr>
            <w:tcW w:w="273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1201799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Would the same core benefits motivate customers everywhere?</w:t>
            </w:r>
          </w:p>
        </w:tc>
        <w:tc>
          <w:tcPr>
            <w:tcW w:w="230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7361216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Core benefits translate across markets.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060B71A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>Rewards require local products, partners, services, or experiences.</w:t>
            </w:r>
          </w:p>
        </w:tc>
        <w:tc>
          <w:tcPr>
            <w:tcW w:w="792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95D2382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</w:tbl>
    <w:p w14:paraId="797071EA" w14:textId="77777777" w:rsidR="00B97F43" w:rsidRDefault="00B97F43" w:rsidP="00B97F43">
      <w:pPr>
        <w:spacing w:after="0" w:line="240" w:lineRule="auto"/>
        <w:contextualSpacing/>
        <w:rPr>
          <w:rFonts w:ascii="Plus Jakarta Sans" w:hAnsi="Plus Jakarta Sans"/>
          <w:b/>
          <w:color w:val="000000" w:themeColor="text1"/>
          <w:sz w:val="24"/>
          <w:szCs w:val="24"/>
        </w:rPr>
      </w:pPr>
    </w:p>
    <w:p w14:paraId="29E8766E" w14:textId="165146F2" w:rsidR="00123791" w:rsidRPr="00123791" w:rsidRDefault="00123791" w:rsidP="00B97F43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24"/>
          <w:szCs w:val="24"/>
        </w:rPr>
      </w:pPr>
      <w:r w:rsidRPr="00123791">
        <w:rPr>
          <w:rFonts w:ascii="Plus Jakarta Sans" w:hAnsi="Plus Jakarta Sans"/>
          <w:b/>
          <w:color w:val="000000" w:themeColor="text1"/>
          <w:sz w:val="24"/>
          <w:szCs w:val="24"/>
        </w:rPr>
        <w:t>Market assessment result</w:t>
      </w:r>
    </w:p>
    <w:tbl>
      <w:tblPr>
        <w:tblW w:w="0" w:type="auto"/>
        <w:jc w:val="center"/>
        <w:tblBorders>
          <w:top w:val="single" w:sz="4" w:space="0" w:color="D6E1E8"/>
          <w:left w:val="single" w:sz="4" w:space="0" w:color="D6E1E8"/>
          <w:bottom w:val="single" w:sz="4" w:space="0" w:color="D6E1E8"/>
          <w:right w:val="single" w:sz="4" w:space="0" w:color="D6E1E8"/>
          <w:insideH w:val="single" w:sz="4" w:space="0" w:color="D6E1E8"/>
          <w:insideV w:val="single" w:sz="4" w:space="0" w:color="D6E1E8"/>
        </w:tblBorders>
        <w:tblLook w:val="04A0" w:firstRow="1" w:lastRow="0" w:firstColumn="1" w:lastColumn="0" w:noHBand="0" w:noVBand="1"/>
      </w:tblPr>
      <w:tblGrid>
        <w:gridCol w:w="2510"/>
        <w:gridCol w:w="2515"/>
        <w:gridCol w:w="2520"/>
        <w:gridCol w:w="2525"/>
      </w:tblGrid>
      <w:tr w:rsidR="00123791" w:rsidRPr="00123791" w14:paraId="067523C6" w14:textId="77777777" w:rsidTr="00314896">
        <w:trPr>
          <w:cantSplit/>
          <w:tblHeader/>
          <w:jc w:val="center"/>
        </w:trPr>
        <w:tc>
          <w:tcPr>
            <w:tcW w:w="2510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6142962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123791">
              <w:rPr>
                <w:rFonts w:ascii="Plus Jakarta Sans" w:hAnsi="Plus Jakarta Sans"/>
                <w:b/>
                <w:color w:val="FFFFFF"/>
                <w:sz w:val="18"/>
              </w:rPr>
              <w:t>Total score</w:t>
            </w:r>
          </w:p>
        </w:tc>
        <w:tc>
          <w:tcPr>
            <w:tcW w:w="2515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E84831F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123791">
              <w:rPr>
                <w:rFonts w:ascii="Plus Jakarta Sans" w:hAnsi="Plus Jakarta Sans"/>
                <w:b/>
                <w:color w:val="FFFFFF"/>
                <w:sz w:val="18"/>
              </w:rPr>
              <w:t>Average score</w:t>
            </w:r>
          </w:p>
        </w:tc>
        <w:tc>
          <w:tcPr>
            <w:tcW w:w="2520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CA71308" w14:textId="77777777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123791">
              <w:rPr>
                <w:rFonts w:ascii="Plus Jakarta Sans" w:hAnsi="Plus Jakarta Sans"/>
                <w:b/>
                <w:color w:val="FFFFFF"/>
                <w:sz w:val="18"/>
              </w:rPr>
              <w:t>Directional model</w:t>
            </w:r>
          </w:p>
        </w:tc>
        <w:tc>
          <w:tcPr>
            <w:tcW w:w="2525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091DA6B" w14:textId="10053214" w:rsidR="00123791" w:rsidRPr="00123791" w:rsidRDefault="00123791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123791">
              <w:rPr>
                <w:rFonts w:ascii="Plus Jakarta Sans" w:hAnsi="Plus Jakarta Sans"/>
                <w:b/>
                <w:color w:val="FFFFFF"/>
                <w:sz w:val="18"/>
              </w:rPr>
              <w:t xml:space="preserve">Key </w:t>
            </w:r>
            <w:proofErr w:type="gramStart"/>
            <w:r w:rsidRPr="00123791">
              <w:rPr>
                <w:rFonts w:ascii="Plus Jakarta Sans" w:hAnsi="Plus Jakarta Sans"/>
                <w:b/>
                <w:color w:val="FFFFFF"/>
                <w:sz w:val="18"/>
              </w:rPr>
              <w:t>exception</w:t>
            </w:r>
            <w:proofErr w:type="gramEnd"/>
            <w:r w:rsidRPr="00123791">
              <w:rPr>
                <w:rFonts w:ascii="Plus Jakarta Sans" w:hAnsi="Plus Jakarta Sans"/>
                <w:b/>
                <w:color w:val="FFFFFF"/>
                <w:sz w:val="18"/>
              </w:rPr>
              <w:t xml:space="preserve"> or </w:t>
            </w:r>
            <w:r w:rsidR="00532F59">
              <w:rPr>
                <w:rFonts w:ascii="Plus Jakarta Sans" w:hAnsi="Plus Jakarta Sans"/>
                <w:b/>
                <w:color w:val="FFFFFF"/>
                <w:sz w:val="18"/>
              </w:rPr>
              <w:t>consideration</w:t>
            </w:r>
          </w:p>
        </w:tc>
      </w:tr>
      <w:tr w:rsidR="00FD35BC" w:rsidRPr="00123791" w14:paraId="74F7318F" w14:textId="77777777" w:rsidTr="00FD35BC">
        <w:trPr>
          <w:cantSplit/>
          <w:jc w:val="center"/>
        </w:trPr>
        <w:tc>
          <w:tcPr>
            <w:tcW w:w="2510" w:type="dxa"/>
            <w:shd w:val="clear" w:color="auto" w:fill="FFFFFF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6EA21CB" w14:textId="12575983" w:rsidR="00FD35BC" w:rsidRPr="00123791" w:rsidRDefault="00FD35BC" w:rsidP="00FD35BC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6"/>
              </w:rPr>
              <w:t xml:space="preserve">      </w:t>
            </w:r>
            <w:r>
              <w:rPr>
                <w:rFonts w:ascii="Plus Jakarta Sans" w:hAnsi="Plus Jakarta Sans"/>
                <w:color w:val="000000" w:themeColor="text1"/>
                <w:sz w:val="16"/>
              </w:rPr>
              <w:t xml:space="preserve"> </w:t>
            </w:r>
            <w:r w:rsidRPr="00123791">
              <w:rPr>
                <w:rFonts w:ascii="Plus Jakarta Sans" w:hAnsi="Plus Jakarta Sans"/>
                <w:color w:val="000000" w:themeColor="text1"/>
                <w:sz w:val="16"/>
              </w:rPr>
              <w:t xml:space="preserve"> / 40</w:t>
            </w:r>
          </w:p>
        </w:tc>
        <w:tc>
          <w:tcPr>
            <w:tcW w:w="2515" w:type="dxa"/>
            <w:shd w:val="clear" w:color="auto" w:fill="FFFFFF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F1F51CB" w14:textId="0FACFDB5" w:rsidR="00FD35BC" w:rsidRPr="00123791" w:rsidRDefault="00FD35BC" w:rsidP="00FD35BC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6"/>
              </w:rPr>
              <w:t xml:space="preserve">       </w:t>
            </w:r>
            <w:r>
              <w:rPr>
                <w:rFonts w:ascii="Plus Jakarta Sans" w:hAnsi="Plus Jakarta Sans"/>
                <w:color w:val="000000" w:themeColor="text1"/>
                <w:sz w:val="16"/>
              </w:rPr>
              <w:t xml:space="preserve">  </w:t>
            </w:r>
            <w:r w:rsidRPr="00123791">
              <w:rPr>
                <w:rFonts w:ascii="Plus Jakarta Sans" w:hAnsi="Plus Jakarta Sans"/>
                <w:color w:val="000000" w:themeColor="text1"/>
                <w:sz w:val="16"/>
              </w:rPr>
              <w:t>/ 5</w:t>
            </w:r>
          </w:p>
        </w:tc>
        <w:tc>
          <w:tcPr>
            <w:tcW w:w="2520" w:type="dxa"/>
            <w:shd w:val="clear" w:color="auto" w:fill="FFFFFF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F91CBEA" w14:textId="037CCDA3" w:rsidR="00FD35BC" w:rsidRPr="00123791" w:rsidRDefault="00FD35BC" w:rsidP="00FD35BC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>
              <w:rPr>
                <w:rFonts w:ascii="Aptos" w:hAnsi="Aptos"/>
                <w:color w:val="243746"/>
                <w:sz w:val="16"/>
              </w:rPr>
              <w:t>Click to enter text.</w:t>
            </w:r>
          </w:p>
        </w:tc>
        <w:tc>
          <w:tcPr>
            <w:tcW w:w="2525" w:type="dxa"/>
            <w:shd w:val="clear" w:color="auto" w:fill="FFFFFF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7488A87" w14:textId="34B79FDE" w:rsidR="00FD35BC" w:rsidRPr="00123791" w:rsidRDefault="00FD35BC" w:rsidP="00FD35BC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>
              <w:rPr>
                <w:rFonts w:ascii="Aptos" w:hAnsi="Aptos"/>
                <w:color w:val="243746"/>
                <w:sz w:val="16"/>
              </w:rPr>
              <w:t>Click to enter text.</w:t>
            </w:r>
          </w:p>
        </w:tc>
      </w:tr>
      <w:tr w:rsidR="00FD35BC" w:rsidRPr="00123791" w14:paraId="768A2027" w14:textId="77777777" w:rsidTr="00FD35BC">
        <w:trPr>
          <w:cantSplit/>
          <w:jc w:val="center"/>
        </w:trPr>
        <w:tc>
          <w:tcPr>
            <w:tcW w:w="10070" w:type="dxa"/>
            <w:gridSpan w:val="4"/>
            <w:shd w:val="clear" w:color="auto" w:fill="E1E3F0" w:themeFill="accent1" w:themeFillTint="1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A3536F5" w14:textId="77777777" w:rsidR="00FD35BC" w:rsidRPr="00123791" w:rsidRDefault="00FD35BC" w:rsidP="00FD35BC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123791">
              <w:rPr>
                <w:rFonts w:ascii="Plus Jakarta Sans" w:hAnsi="Plus Jakarta Sans"/>
                <w:color w:val="000000" w:themeColor="text1"/>
                <w:sz w:val="16"/>
              </w:rPr>
              <w:t xml:space="preserve">Interpretation: 1.0–1.9 = Global </w:t>
            </w:r>
            <w:proofErr w:type="gramStart"/>
            <w:r w:rsidRPr="00123791">
              <w:rPr>
                <w:rFonts w:ascii="Plus Jakarta Sans" w:hAnsi="Plus Jakarta Sans"/>
                <w:color w:val="000000" w:themeColor="text1"/>
                <w:sz w:val="16"/>
              </w:rPr>
              <w:t>standard  |</w:t>
            </w:r>
            <w:proofErr w:type="gramEnd"/>
            <w:r w:rsidRPr="00123791">
              <w:rPr>
                <w:rFonts w:ascii="Plus Jakarta Sans" w:hAnsi="Plus Jakarta Sans"/>
                <w:color w:val="000000" w:themeColor="text1"/>
                <w:sz w:val="16"/>
              </w:rPr>
              <w:t xml:space="preserve">  2.0–2.9 = Global framework with local </w:t>
            </w:r>
            <w:proofErr w:type="gramStart"/>
            <w:r w:rsidRPr="00123791">
              <w:rPr>
                <w:rFonts w:ascii="Plus Jakarta Sans" w:hAnsi="Plus Jakarta Sans"/>
                <w:color w:val="000000" w:themeColor="text1"/>
                <w:sz w:val="16"/>
              </w:rPr>
              <w:t>configuration  |</w:t>
            </w:r>
            <w:proofErr w:type="gramEnd"/>
            <w:r w:rsidRPr="00123791">
              <w:rPr>
                <w:rFonts w:ascii="Plus Jakarta Sans" w:hAnsi="Plus Jakarta Sans"/>
                <w:color w:val="000000" w:themeColor="text1"/>
                <w:sz w:val="16"/>
              </w:rPr>
              <w:t xml:space="preserve">  3.0–3.9 = Regional program within global </w:t>
            </w:r>
            <w:proofErr w:type="gramStart"/>
            <w:r w:rsidRPr="00123791">
              <w:rPr>
                <w:rFonts w:ascii="Plus Jakarta Sans" w:hAnsi="Plus Jakarta Sans"/>
                <w:color w:val="000000" w:themeColor="text1"/>
                <w:sz w:val="16"/>
              </w:rPr>
              <w:t>guardrails  |</w:t>
            </w:r>
            <w:proofErr w:type="gramEnd"/>
            <w:r w:rsidRPr="00123791">
              <w:rPr>
                <w:rFonts w:ascii="Plus Jakarta Sans" w:hAnsi="Plus Jakarta Sans"/>
                <w:color w:val="000000" w:themeColor="text1"/>
                <w:sz w:val="16"/>
              </w:rPr>
              <w:t xml:space="preserve">  4.0–5.0 = Consider market-specific design</w:t>
            </w:r>
          </w:p>
        </w:tc>
      </w:tr>
    </w:tbl>
    <w:p w14:paraId="2C007F7D" w14:textId="77777777" w:rsidR="00123791" w:rsidRPr="00123791" w:rsidRDefault="00123791" w:rsidP="00B97F43">
      <w:pPr>
        <w:spacing w:after="0" w:line="240" w:lineRule="auto"/>
        <w:contextualSpacing/>
        <w:rPr>
          <w:rFonts w:ascii="Plus Jakarta Sans" w:hAnsi="Plus Jakarta Sans"/>
        </w:rPr>
      </w:pPr>
      <w:r w:rsidRPr="00123791">
        <w:rPr>
          <w:rFonts w:ascii="Plus Jakarta Sans" w:hAnsi="Plus Jakarta Sans"/>
        </w:rPr>
        <w:br w:type="page"/>
      </w:r>
    </w:p>
    <w:p w14:paraId="584B97FB" w14:textId="20FD5661" w:rsidR="00E41B90" w:rsidRPr="00B97F43" w:rsidRDefault="00E41B90" w:rsidP="00B97F43">
      <w:pPr>
        <w:pStyle w:val="Head1"/>
        <w:spacing w:before="0" w:after="0" w:line="240" w:lineRule="auto"/>
        <w:contextualSpacing/>
        <w:rPr>
          <w:rFonts w:ascii="Plus Jakarta Sans" w:hAnsi="Plus Jakarta Sans"/>
        </w:rPr>
      </w:pPr>
      <w:bookmarkStart w:id="3" w:name="_Toc236399582"/>
      <w:r>
        <w:rPr>
          <w:rFonts w:ascii="Plus Jakarta Sans" w:hAnsi="Plus Jakarta Sans"/>
        </w:rPr>
        <w:lastRenderedPageBreak/>
        <w:t xml:space="preserve">Part 2: </w:t>
      </w:r>
      <w:r w:rsidR="00AA76D1">
        <w:rPr>
          <w:rFonts w:ascii="Plus Jakarta Sans" w:hAnsi="Plus Jakarta Sans"/>
        </w:rPr>
        <w:t>Readiness</w:t>
      </w:r>
      <w:r>
        <w:rPr>
          <w:rFonts w:ascii="Plus Jakarta Sans" w:hAnsi="Plus Jakarta Sans"/>
        </w:rPr>
        <w:t xml:space="preserve"> asssessment</w:t>
      </w:r>
      <w:bookmarkEnd w:id="3"/>
    </w:p>
    <w:p w14:paraId="25C2FC14" w14:textId="77777777" w:rsidR="00B97F43" w:rsidRDefault="00B97F43" w:rsidP="00B97F43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24"/>
          <w:szCs w:val="24"/>
        </w:rPr>
      </w:pPr>
    </w:p>
    <w:p w14:paraId="3154EA19" w14:textId="5223AF18" w:rsidR="00B97F43" w:rsidRDefault="00B97F43" w:rsidP="00B97F43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24"/>
          <w:szCs w:val="24"/>
        </w:rPr>
      </w:pPr>
      <w:r w:rsidRPr="00B97F43">
        <w:rPr>
          <w:rFonts w:ascii="Plus Jakarta Sans" w:hAnsi="Plus Jakarta Sans"/>
          <w:color w:val="000000" w:themeColor="text1"/>
          <w:sz w:val="24"/>
          <w:szCs w:val="24"/>
        </w:rPr>
        <w:t>The most relevant customer model is not always immediately feasible. Score the internal conditions that may enable</w:t>
      </w:r>
      <w:r w:rsidR="003E169E">
        <w:rPr>
          <w:rFonts w:ascii="Plus Jakarta Sans" w:hAnsi="Plus Jakarta Sans"/>
          <w:color w:val="000000" w:themeColor="text1"/>
          <w:sz w:val="24"/>
          <w:szCs w:val="24"/>
        </w:rPr>
        <w:t xml:space="preserve"> (</w:t>
      </w:r>
      <w:r w:rsidRPr="00B97F43">
        <w:rPr>
          <w:rFonts w:ascii="Plus Jakarta Sans" w:hAnsi="Plus Jakarta Sans"/>
          <w:color w:val="000000" w:themeColor="text1"/>
          <w:sz w:val="24"/>
          <w:szCs w:val="24"/>
        </w:rPr>
        <w:t>or constrain</w:t>
      </w:r>
      <w:r w:rsidR="003E169E">
        <w:rPr>
          <w:rFonts w:ascii="Plus Jakarta Sans" w:hAnsi="Plus Jakarta Sans"/>
          <w:color w:val="000000" w:themeColor="text1"/>
          <w:sz w:val="24"/>
          <w:szCs w:val="24"/>
        </w:rPr>
        <w:t xml:space="preserve">) </w:t>
      </w:r>
      <w:r w:rsidRPr="00B97F43">
        <w:rPr>
          <w:rFonts w:ascii="Plus Jakarta Sans" w:hAnsi="Plus Jakarta Sans"/>
          <w:color w:val="000000" w:themeColor="text1"/>
          <w:sz w:val="24"/>
          <w:szCs w:val="24"/>
        </w:rPr>
        <w:t>the recommended program structure.</w:t>
      </w:r>
    </w:p>
    <w:p w14:paraId="4286ED88" w14:textId="77777777" w:rsidR="00B97F43" w:rsidRPr="00B97F43" w:rsidRDefault="00B97F43" w:rsidP="00B97F43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24"/>
          <w:szCs w:val="24"/>
        </w:rPr>
      </w:pPr>
    </w:p>
    <w:p w14:paraId="21A59C1F" w14:textId="77777777" w:rsidR="00B97F43" w:rsidRDefault="00B97F43" w:rsidP="00B97F43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18"/>
          <w:szCs w:val="18"/>
        </w:rPr>
      </w:pPr>
      <w:r w:rsidRPr="00B97F43">
        <w:rPr>
          <w:rFonts w:ascii="Plus Jakarta Sans" w:hAnsi="Plus Jakarta Sans"/>
          <w:b/>
          <w:color w:val="000000" w:themeColor="text1"/>
          <w:sz w:val="18"/>
          <w:szCs w:val="18"/>
        </w:rPr>
        <w:t xml:space="preserve">Scoring scale: </w:t>
      </w:r>
      <w:r w:rsidRPr="00B97F43">
        <w:rPr>
          <w:rFonts w:ascii="Plus Jakarta Sans" w:hAnsi="Plus Jakarta Sans"/>
          <w:color w:val="000000" w:themeColor="text1"/>
          <w:sz w:val="18"/>
          <w:szCs w:val="18"/>
        </w:rPr>
        <w:t xml:space="preserve">1 = highly standardized / centrally </w:t>
      </w:r>
      <w:proofErr w:type="gramStart"/>
      <w:r w:rsidRPr="00B97F43">
        <w:rPr>
          <w:rFonts w:ascii="Plus Jakarta Sans" w:hAnsi="Plus Jakarta Sans"/>
          <w:color w:val="000000" w:themeColor="text1"/>
          <w:sz w:val="18"/>
          <w:szCs w:val="18"/>
        </w:rPr>
        <w:t>ready  |</w:t>
      </w:r>
      <w:proofErr w:type="gramEnd"/>
      <w:r w:rsidRPr="00B97F43">
        <w:rPr>
          <w:rFonts w:ascii="Plus Jakarta Sans" w:hAnsi="Plus Jakarta Sans"/>
          <w:color w:val="000000" w:themeColor="text1"/>
          <w:sz w:val="18"/>
          <w:szCs w:val="18"/>
        </w:rPr>
        <w:t xml:space="preserve">  3 = mixed </w:t>
      </w:r>
      <w:proofErr w:type="gramStart"/>
      <w:r w:rsidRPr="00B97F43">
        <w:rPr>
          <w:rFonts w:ascii="Plus Jakarta Sans" w:hAnsi="Plus Jakarta Sans"/>
          <w:color w:val="000000" w:themeColor="text1"/>
          <w:sz w:val="18"/>
          <w:szCs w:val="18"/>
        </w:rPr>
        <w:t>readiness  |</w:t>
      </w:r>
      <w:proofErr w:type="gramEnd"/>
      <w:r w:rsidRPr="00B97F43">
        <w:rPr>
          <w:rFonts w:ascii="Plus Jakarta Sans" w:hAnsi="Plus Jakarta Sans"/>
          <w:color w:val="000000" w:themeColor="text1"/>
          <w:sz w:val="18"/>
          <w:szCs w:val="18"/>
        </w:rPr>
        <w:t xml:space="preserve">  5 = highly fragmented / locally dependent</w:t>
      </w:r>
    </w:p>
    <w:p w14:paraId="18FC8B79" w14:textId="77777777" w:rsidR="004D676C" w:rsidRPr="00B97F43" w:rsidRDefault="004D676C" w:rsidP="00B97F43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D6E1E8"/>
          <w:left w:val="single" w:sz="4" w:space="0" w:color="D6E1E8"/>
          <w:bottom w:val="single" w:sz="4" w:space="0" w:color="D6E1E8"/>
          <w:right w:val="single" w:sz="4" w:space="0" w:color="D6E1E8"/>
          <w:insideH w:val="single" w:sz="4" w:space="0" w:color="D6E1E8"/>
          <w:insideV w:val="single" w:sz="4" w:space="0" w:color="D6E1E8"/>
        </w:tblBorders>
        <w:tblLook w:val="04A0" w:firstRow="1" w:lastRow="0" w:firstColumn="1" w:lastColumn="0" w:noHBand="0" w:noVBand="1"/>
      </w:tblPr>
      <w:tblGrid>
        <w:gridCol w:w="1656"/>
        <w:gridCol w:w="2736"/>
        <w:gridCol w:w="2304"/>
        <w:gridCol w:w="2520"/>
        <w:gridCol w:w="792"/>
      </w:tblGrid>
      <w:tr w:rsidR="00B97F43" w:rsidRPr="00B97F43" w14:paraId="40C6EBC4" w14:textId="77777777" w:rsidTr="003B7BAF">
        <w:trPr>
          <w:cantSplit/>
          <w:tblHeader/>
          <w:jc w:val="center"/>
        </w:trPr>
        <w:tc>
          <w:tcPr>
            <w:tcW w:w="1656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9631F56" w14:textId="77777777" w:rsidR="00B97F43" w:rsidRPr="00B97F43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B97F43">
              <w:rPr>
                <w:rFonts w:ascii="Plus Jakarta Sans" w:hAnsi="Plus Jakarta Sans"/>
                <w:b/>
                <w:color w:val="FFFFFF"/>
                <w:sz w:val="18"/>
              </w:rPr>
              <w:t>Assessment area</w:t>
            </w:r>
          </w:p>
        </w:tc>
        <w:tc>
          <w:tcPr>
            <w:tcW w:w="2736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AB60A6D" w14:textId="77777777" w:rsidR="00B97F43" w:rsidRPr="00B97F43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B97F43">
              <w:rPr>
                <w:rFonts w:ascii="Plus Jakarta Sans" w:hAnsi="Plus Jakarta Sans"/>
                <w:b/>
                <w:color w:val="FFFFFF"/>
                <w:sz w:val="18"/>
              </w:rPr>
              <w:t>Question</w:t>
            </w:r>
          </w:p>
        </w:tc>
        <w:tc>
          <w:tcPr>
            <w:tcW w:w="2304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4BAA574" w14:textId="77777777" w:rsidR="00B97F43" w:rsidRPr="00B97F43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B97F43">
              <w:rPr>
                <w:rFonts w:ascii="Plus Jakarta Sans" w:hAnsi="Plus Jakarta Sans"/>
                <w:b/>
                <w:color w:val="FFFFFF"/>
                <w:sz w:val="18"/>
              </w:rPr>
              <w:t>Global signal</w:t>
            </w:r>
          </w:p>
        </w:tc>
        <w:tc>
          <w:tcPr>
            <w:tcW w:w="2520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76A3347" w14:textId="77777777" w:rsidR="00B97F43" w:rsidRPr="00B97F43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B97F43">
              <w:rPr>
                <w:rFonts w:ascii="Plus Jakarta Sans" w:hAnsi="Plus Jakarta Sans"/>
                <w:b/>
                <w:color w:val="FFFFFF"/>
                <w:sz w:val="18"/>
              </w:rPr>
              <w:t>Local signal</w:t>
            </w:r>
          </w:p>
        </w:tc>
        <w:tc>
          <w:tcPr>
            <w:tcW w:w="792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03DDFFE" w14:textId="77777777" w:rsidR="00B97F43" w:rsidRPr="00B97F43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B97F43">
              <w:rPr>
                <w:rFonts w:ascii="Plus Jakarta Sans" w:hAnsi="Plus Jakarta Sans"/>
                <w:b/>
                <w:color w:val="FFFFFF"/>
                <w:sz w:val="18"/>
              </w:rPr>
              <w:t>Score</w:t>
            </w:r>
            <w:r w:rsidRPr="00B97F43">
              <w:rPr>
                <w:rFonts w:ascii="Plus Jakarta Sans" w:hAnsi="Plus Jakarta Sans"/>
                <w:b/>
                <w:color w:val="FFFFFF"/>
                <w:sz w:val="18"/>
              </w:rPr>
              <w:br/>
              <w:t>1–5</w:t>
            </w:r>
          </w:p>
        </w:tc>
      </w:tr>
      <w:tr w:rsidR="00B97F43" w:rsidRPr="00B97F43" w14:paraId="44833D4C" w14:textId="77777777" w:rsidTr="00324000">
        <w:trPr>
          <w:cantSplit/>
          <w:jc w:val="center"/>
        </w:trPr>
        <w:tc>
          <w:tcPr>
            <w:tcW w:w="165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A4F8589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Program economics</w:t>
            </w:r>
          </w:p>
        </w:tc>
        <w:tc>
          <w:tcPr>
            <w:tcW w:w="273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7C2AF9C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Can markets support comparable earn and reward economics?</w:t>
            </w:r>
          </w:p>
        </w:tc>
        <w:tc>
          <w:tcPr>
            <w:tcW w:w="230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2D7E185" w14:textId="2B7F75A5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Similar margins, pricing</w:t>
            </w:r>
            <w:r w:rsidR="004575BB">
              <w:rPr>
                <w:rFonts w:ascii="Plus Jakarta Sans" w:hAnsi="Plus Jakarta Sans"/>
                <w:color w:val="000000" w:themeColor="text1"/>
                <w:sz w:val="15"/>
              </w:rPr>
              <w:t xml:space="preserve"> and</w:t>
            </w: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 xml:space="preserve"> frequency.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EF369BA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Major differences in margins, AOV, frequency, or currency.</w:t>
            </w:r>
          </w:p>
        </w:tc>
        <w:tc>
          <w:tcPr>
            <w:tcW w:w="792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B2C1089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  <w:tr w:rsidR="00B97F43" w:rsidRPr="00B97F43" w14:paraId="0EEF08C8" w14:textId="77777777" w:rsidTr="00324000">
        <w:trPr>
          <w:cantSplit/>
          <w:jc w:val="center"/>
        </w:trPr>
        <w:tc>
          <w:tcPr>
            <w:tcW w:w="165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9D36B2A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Regulatory environment</w:t>
            </w:r>
          </w:p>
        </w:tc>
        <w:tc>
          <w:tcPr>
            <w:tcW w:w="273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EC3334D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Are loyalty, privacy, and promotional rules broadly aligned?</w:t>
            </w:r>
          </w:p>
        </w:tc>
        <w:tc>
          <w:tcPr>
            <w:tcW w:w="230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193F35A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Similar operating requirements.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3EBB07F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Significant regional restrictions or legal differences.</w:t>
            </w:r>
          </w:p>
        </w:tc>
        <w:tc>
          <w:tcPr>
            <w:tcW w:w="792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3DEA1BA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  <w:tr w:rsidR="00B97F43" w:rsidRPr="00B97F43" w14:paraId="600866BD" w14:textId="77777777" w:rsidTr="00324000">
        <w:trPr>
          <w:cantSplit/>
          <w:jc w:val="center"/>
        </w:trPr>
        <w:tc>
          <w:tcPr>
            <w:tcW w:w="165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3309A94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Technology</w:t>
            </w:r>
          </w:p>
        </w:tc>
        <w:tc>
          <w:tcPr>
            <w:tcW w:w="273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AA6E2E6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Do markets use compatible commerce, POS, CRM, and marketing systems?</w:t>
            </w:r>
          </w:p>
        </w:tc>
        <w:tc>
          <w:tcPr>
            <w:tcW w:w="230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F5B882A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Shared or easily integrated infrastructure.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583B8B5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Fragmented regional technology environments.</w:t>
            </w:r>
          </w:p>
        </w:tc>
        <w:tc>
          <w:tcPr>
            <w:tcW w:w="792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951BE90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  <w:tr w:rsidR="00B97F43" w:rsidRPr="00B97F43" w14:paraId="47C6B468" w14:textId="77777777" w:rsidTr="00324000">
        <w:trPr>
          <w:cantSplit/>
          <w:jc w:val="center"/>
        </w:trPr>
        <w:tc>
          <w:tcPr>
            <w:tcW w:w="165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D5A44FD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Customer data</w:t>
            </w:r>
          </w:p>
        </w:tc>
        <w:tc>
          <w:tcPr>
            <w:tcW w:w="273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B158011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Can member identity and activity be managed consistently?</w:t>
            </w:r>
          </w:p>
        </w:tc>
        <w:tc>
          <w:tcPr>
            <w:tcW w:w="230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2DEE412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Shared identifiers, definitions, and data standards.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BE03C7E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Disconnected customer records and definitions.</w:t>
            </w:r>
          </w:p>
        </w:tc>
        <w:tc>
          <w:tcPr>
            <w:tcW w:w="792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47D58DC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  <w:tr w:rsidR="00B97F43" w:rsidRPr="00B97F43" w14:paraId="62604044" w14:textId="77777777" w:rsidTr="00324000">
        <w:trPr>
          <w:cantSplit/>
          <w:jc w:val="center"/>
        </w:trPr>
        <w:tc>
          <w:tcPr>
            <w:tcW w:w="165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D03D45F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Operational capability</w:t>
            </w:r>
          </w:p>
        </w:tc>
        <w:tc>
          <w:tcPr>
            <w:tcW w:w="273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6F70B25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Can markets execute a comparable program model?</w:t>
            </w:r>
          </w:p>
        </w:tc>
        <w:tc>
          <w:tcPr>
            <w:tcW w:w="230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E733A9F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Similar staffing, training, and operating processes.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59CB7BC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Meaningful differences in local capability.</w:t>
            </w:r>
          </w:p>
        </w:tc>
        <w:tc>
          <w:tcPr>
            <w:tcW w:w="792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8417632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  <w:tr w:rsidR="00B97F43" w:rsidRPr="00B97F43" w14:paraId="19FF5D66" w14:textId="77777777" w:rsidTr="00324000">
        <w:trPr>
          <w:cantSplit/>
          <w:jc w:val="center"/>
        </w:trPr>
        <w:tc>
          <w:tcPr>
            <w:tcW w:w="165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18E6452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Regional expertise</w:t>
            </w:r>
          </w:p>
        </w:tc>
        <w:tc>
          <w:tcPr>
            <w:tcW w:w="273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EAB5BAD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Do local teams have the skills and capacity to own loyalty?</w:t>
            </w:r>
          </w:p>
        </w:tc>
        <w:tc>
          <w:tcPr>
            <w:tcW w:w="230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EE8FD66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Central team can effectively lead and enable execution.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B4E0E25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Local teams need or expect greater ownership.</w:t>
            </w:r>
          </w:p>
        </w:tc>
        <w:tc>
          <w:tcPr>
            <w:tcW w:w="792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C815DFC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  <w:tr w:rsidR="00B97F43" w:rsidRPr="00B97F43" w14:paraId="0E3C1F7A" w14:textId="77777777" w:rsidTr="00324000">
        <w:trPr>
          <w:cantSplit/>
          <w:jc w:val="center"/>
        </w:trPr>
        <w:tc>
          <w:tcPr>
            <w:tcW w:w="165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4AEC527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Budget ownership</w:t>
            </w:r>
          </w:p>
        </w:tc>
        <w:tc>
          <w:tcPr>
            <w:tcW w:w="273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FCE64B9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Is loyalty investment controlled consistently?</w:t>
            </w:r>
          </w:p>
        </w:tc>
        <w:tc>
          <w:tcPr>
            <w:tcW w:w="230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BFAFB46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Central funding and decision-making.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686A630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>Regional P&amp;Ls control value, campaigns, and promotions.</w:t>
            </w:r>
          </w:p>
        </w:tc>
        <w:tc>
          <w:tcPr>
            <w:tcW w:w="792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6A25FA5" w14:textId="77777777" w:rsidR="00B97F43" w:rsidRPr="00D96174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D96174">
              <w:rPr>
                <w:rFonts w:ascii="Plus Jakarta Sans" w:hAnsi="Plus Jakarta Sans"/>
                <w:color w:val="000000" w:themeColor="text1"/>
                <w:sz w:val="15"/>
              </w:rPr>
              <w:t xml:space="preserve">   </w:t>
            </w:r>
          </w:p>
        </w:tc>
      </w:tr>
    </w:tbl>
    <w:p w14:paraId="5E74DEBD" w14:textId="77777777" w:rsidR="003B7BAF" w:rsidRPr="004D676C" w:rsidRDefault="003B7BAF" w:rsidP="00B97F43">
      <w:pPr>
        <w:spacing w:after="0" w:line="240" w:lineRule="auto"/>
        <w:contextualSpacing/>
        <w:rPr>
          <w:rFonts w:ascii="Plus Jakarta Sans" w:hAnsi="Plus Jakarta Sans"/>
          <w:b/>
          <w:color w:val="17324D"/>
          <w:sz w:val="24"/>
          <w:szCs w:val="24"/>
        </w:rPr>
      </w:pPr>
    </w:p>
    <w:p w14:paraId="7F001EE3" w14:textId="2A67780A" w:rsidR="00B97F43" w:rsidRPr="004D676C" w:rsidRDefault="00B97F43" w:rsidP="00B97F43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24"/>
          <w:szCs w:val="24"/>
        </w:rPr>
      </w:pPr>
      <w:r w:rsidRPr="004D676C">
        <w:rPr>
          <w:rFonts w:ascii="Plus Jakarta Sans" w:hAnsi="Plus Jakarta Sans"/>
          <w:b/>
          <w:color w:val="000000" w:themeColor="text1"/>
          <w:sz w:val="24"/>
          <w:szCs w:val="24"/>
        </w:rPr>
        <w:t>Internal readiness result</w:t>
      </w:r>
    </w:p>
    <w:tbl>
      <w:tblPr>
        <w:tblW w:w="0" w:type="auto"/>
        <w:jc w:val="center"/>
        <w:tblBorders>
          <w:top w:val="single" w:sz="4" w:space="0" w:color="D6E1E8"/>
          <w:left w:val="single" w:sz="4" w:space="0" w:color="D6E1E8"/>
          <w:bottom w:val="single" w:sz="4" w:space="0" w:color="D6E1E8"/>
          <w:right w:val="single" w:sz="4" w:space="0" w:color="D6E1E8"/>
          <w:insideH w:val="single" w:sz="4" w:space="0" w:color="D6E1E8"/>
          <w:insideV w:val="single" w:sz="4" w:space="0" w:color="D6E1E8"/>
        </w:tblBorders>
        <w:tblLook w:val="04A0" w:firstRow="1" w:lastRow="0" w:firstColumn="1" w:lastColumn="0" w:noHBand="0" w:noVBand="1"/>
      </w:tblPr>
      <w:tblGrid>
        <w:gridCol w:w="2490"/>
        <w:gridCol w:w="2497"/>
        <w:gridCol w:w="2505"/>
        <w:gridCol w:w="2500"/>
        <w:gridCol w:w="78"/>
      </w:tblGrid>
      <w:tr w:rsidR="00B97F43" w:rsidRPr="00B97F43" w14:paraId="1E062AF4" w14:textId="77777777" w:rsidTr="00FD35BC">
        <w:trPr>
          <w:cantSplit/>
          <w:tblHeader/>
          <w:jc w:val="center"/>
        </w:trPr>
        <w:tc>
          <w:tcPr>
            <w:tcW w:w="2490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2ADF8C1" w14:textId="77777777" w:rsidR="00B97F43" w:rsidRPr="00B97F43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B97F43">
              <w:rPr>
                <w:rFonts w:ascii="Plus Jakarta Sans" w:hAnsi="Plus Jakarta Sans"/>
                <w:b/>
                <w:color w:val="FFFFFF"/>
                <w:sz w:val="18"/>
              </w:rPr>
              <w:t>Total score</w:t>
            </w:r>
          </w:p>
        </w:tc>
        <w:tc>
          <w:tcPr>
            <w:tcW w:w="2497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72CDB8E" w14:textId="77777777" w:rsidR="00B97F43" w:rsidRPr="00B97F43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B97F43">
              <w:rPr>
                <w:rFonts w:ascii="Plus Jakarta Sans" w:hAnsi="Plus Jakarta Sans"/>
                <w:b/>
                <w:color w:val="FFFFFF"/>
                <w:sz w:val="18"/>
              </w:rPr>
              <w:t>Average score</w:t>
            </w:r>
          </w:p>
        </w:tc>
        <w:tc>
          <w:tcPr>
            <w:tcW w:w="2505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EEFAF73" w14:textId="77777777" w:rsidR="00B97F43" w:rsidRPr="00B97F43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B97F43">
              <w:rPr>
                <w:rFonts w:ascii="Plus Jakarta Sans" w:hAnsi="Plus Jakarta Sans"/>
                <w:b/>
                <w:color w:val="FFFFFF"/>
                <w:sz w:val="18"/>
              </w:rPr>
              <w:t>Readiness implication</w:t>
            </w:r>
          </w:p>
        </w:tc>
        <w:tc>
          <w:tcPr>
            <w:tcW w:w="2578" w:type="dxa"/>
            <w:gridSpan w:val="2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C2AB8F3" w14:textId="77777777" w:rsidR="00B97F43" w:rsidRPr="00B97F43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B97F43">
              <w:rPr>
                <w:rFonts w:ascii="Plus Jakarta Sans" w:hAnsi="Plus Jakarta Sans"/>
                <w:b/>
                <w:color w:val="FFFFFF"/>
                <w:sz w:val="18"/>
              </w:rPr>
              <w:t>Highest-priority capability gap</w:t>
            </w:r>
          </w:p>
        </w:tc>
      </w:tr>
      <w:tr w:rsidR="00FD35BC" w:rsidRPr="00B97F43" w14:paraId="4D6C2E25" w14:textId="77777777" w:rsidTr="00FD35BC">
        <w:trPr>
          <w:cantSplit/>
          <w:jc w:val="center"/>
        </w:trPr>
        <w:tc>
          <w:tcPr>
            <w:tcW w:w="2490" w:type="dxa"/>
            <w:shd w:val="clear" w:color="auto" w:fill="FFFFFF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DAAA2F6" w14:textId="77777777" w:rsidR="00FD35BC" w:rsidRPr="00B97F43" w:rsidRDefault="00FD35BC" w:rsidP="00FD35BC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B97F43">
              <w:rPr>
                <w:rFonts w:ascii="Plus Jakarta Sans" w:hAnsi="Plus Jakarta Sans"/>
                <w:color w:val="243746"/>
                <w:sz w:val="16"/>
              </w:rPr>
              <w:t xml:space="preserve">       / 40</w:t>
            </w:r>
          </w:p>
        </w:tc>
        <w:tc>
          <w:tcPr>
            <w:tcW w:w="2497" w:type="dxa"/>
            <w:shd w:val="clear" w:color="auto" w:fill="FFFFFF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63AACC8" w14:textId="77777777" w:rsidR="00FD35BC" w:rsidRPr="00B97F43" w:rsidRDefault="00FD35BC" w:rsidP="00FD35BC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B97F43">
              <w:rPr>
                <w:rFonts w:ascii="Plus Jakarta Sans" w:hAnsi="Plus Jakarta Sans"/>
                <w:color w:val="243746"/>
                <w:sz w:val="16"/>
              </w:rPr>
              <w:t xml:space="preserve">       / 5</w:t>
            </w:r>
          </w:p>
        </w:tc>
        <w:tc>
          <w:tcPr>
            <w:tcW w:w="2505" w:type="dxa"/>
            <w:shd w:val="clear" w:color="auto" w:fill="FFFFFF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4034068" w14:textId="2D7EFD46" w:rsidR="00FD35BC" w:rsidRPr="00B97F43" w:rsidRDefault="00FD35BC" w:rsidP="00FD35BC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>
              <w:rPr>
                <w:rFonts w:ascii="Aptos" w:hAnsi="Aptos"/>
                <w:color w:val="243746"/>
                <w:sz w:val="16"/>
              </w:rPr>
              <w:t>Click to enter text.</w:t>
            </w:r>
          </w:p>
        </w:tc>
        <w:tc>
          <w:tcPr>
            <w:tcW w:w="2578" w:type="dxa"/>
            <w:gridSpan w:val="2"/>
            <w:shd w:val="clear" w:color="auto" w:fill="FFFFFF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BCAC820" w14:textId="253031CB" w:rsidR="00FD35BC" w:rsidRPr="00B97F43" w:rsidRDefault="00FD35BC" w:rsidP="00FD35BC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>
              <w:rPr>
                <w:rFonts w:ascii="Aptos" w:hAnsi="Aptos"/>
                <w:color w:val="243746"/>
                <w:sz w:val="16"/>
              </w:rPr>
              <w:t>Click to enter text.</w:t>
            </w:r>
          </w:p>
        </w:tc>
      </w:tr>
      <w:tr w:rsidR="00B97F43" w:rsidRPr="00B97F43" w14:paraId="0049C22C" w14:textId="77777777" w:rsidTr="00FD35BC">
        <w:tblPrEx>
          <w:tblBorders>
            <w:top w:val="single" w:sz="0" w:space="0" w:color="E8F4F5"/>
            <w:left w:val="single" w:sz="0" w:space="0" w:color="E8F4F5"/>
            <w:bottom w:val="single" w:sz="0" w:space="0" w:color="E8F4F5"/>
            <w:right w:val="single" w:sz="0" w:space="0" w:color="E8F4F5"/>
            <w:insideH w:val="single" w:sz="0" w:space="0" w:color="E8F4F5"/>
            <w:insideV w:val="single" w:sz="0" w:space="0" w:color="E8F4F5"/>
          </w:tblBorders>
        </w:tblPrEx>
        <w:trPr>
          <w:gridAfter w:val="1"/>
          <w:wAfter w:w="78" w:type="dxa"/>
          <w:cantSplit/>
          <w:jc w:val="center"/>
        </w:trPr>
        <w:tc>
          <w:tcPr>
            <w:tcW w:w="9992" w:type="dxa"/>
            <w:gridSpan w:val="4"/>
            <w:shd w:val="clear" w:color="auto" w:fill="E1E3F0" w:themeFill="accent1" w:themeFillTint="1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A3315F6" w14:textId="77777777" w:rsidR="00B97F43" w:rsidRPr="00713B79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713B79">
              <w:rPr>
                <w:rFonts w:ascii="Plus Jakarta Sans" w:hAnsi="Plus Jakarta Sans"/>
                <w:b/>
                <w:color w:val="000000" w:themeColor="text1"/>
                <w:sz w:val="21"/>
              </w:rPr>
              <w:t>How to use both scores</w:t>
            </w:r>
          </w:p>
          <w:p w14:paraId="24DE5403" w14:textId="77777777" w:rsidR="00B97F43" w:rsidRPr="00B97F43" w:rsidRDefault="00B97F43" w:rsidP="00B97F43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713B79">
              <w:rPr>
                <w:rFonts w:ascii="Plus Jakarta Sans" w:hAnsi="Plus Jakarta Sans"/>
                <w:color w:val="000000" w:themeColor="text1"/>
                <w:sz w:val="19"/>
              </w:rPr>
              <w:t>The market assessment identifies what would be most relevant to customers. The readiness assessment identifies what the business can realistically support now. A gap between the two often signals the need for a phased rollout.</w:t>
            </w:r>
          </w:p>
        </w:tc>
      </w:tr>
    </w:tbl>
    <w:p w14:paraId="662626C5" w14:textId="77777777" w:rsidR="00D118D4" w:rsidRPr="00B97F43" w:rsidRDefault="00D118D4" w:rsidP="00B97F43">
      <w:pPr>
        <w:spacing w:after="0" w:line="240" w:lineRule="auto"/>
        <w:contextualSpacing/>
        <w:rPr>
          <w:rFonts w:ascii="Plus Jakarta Sans" w:hAnsi="Plus Jakarta Sans" w:cstheme="minorHAnsi"/>
          <w:noProof/>
          <w:sz w:val="21"/>
          <w:szCs w:val="21"/>
        </w:rPr>
      </w:pPr>
    </w:p>
    <w:p w14:paraId="7DA5090B" w14:textId="77777777" w:rsidR="00D118D4" w:rsidRPr="00B97F43" w:rsidRDefault="00D118D4" w:rsidP="00B97F43">
      <w:pPr>
        <w:spacing w:after="0" w:line="240" w:lineRule="auto"/>
        <w:contextualSpacing/>
        <w:rPr>
          <w:rFonts w:ascii="Plus Jakarta Sans" w:hAnsi="Plus Jakarta Sans" w:cstheme="minorHAnsi"/>
          <w:noProof/>
          <w:sz w:val="21"/>
          <w:szCs w:val="21"/>
        </w:rPr>
      </w:pPr>
    </w:p>
    <w:p w14:paraId="19986570" w14:textId="77777777" w:rsidR="00F07555" w:rsidRDefault="00F07555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2D618EE2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02187B5E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6A16AB4C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2DB9ACA4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1D1B7973" w14:textId="77777777" w:rsidR="00AA76D1" w:rsidRDefault="00AA76D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5223B384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330931B4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18768E50" w14:textId="44E9E5B9" w:rsidR="004D676C" w:rsidRPr="00B97F43" w:rsidRDefault="004D676C" w:rsidP="004D676C">
      <w:pPr>
        <w:pStyle w:val="Head1"/>
        <w:spacing w:before="0" w:after="0" w:line="240" w:lineRule="auto"/>
        <w:contextualSpacing/>
        <w:rPr>
          <w:rFonts w:ascii="Plus Jakarta Sans" w:hAnsi="Plus Jakarta Sans"/>
        </w:rPr>
      </w:pPr>
      <w:bookmarkStart w:id="4" w:name="_Toc236399583"/>
      <w:r>
        <w:rPr>
          <w:rFonts w:ascii="Plus Jakarta Sans" w:hAnsi="Plus Jakarta Sans"/>
        </w:rPr>
        <w:t>Part 3: Global vs. Local design matrix</w:t>
      </w:r>
      <w:bookmarkEnd w:id="4"/>
    </w:p>
    <w:p w14:paraId="173E5AC6" w14:textId="77777777" w:rsidR="004D676C" w:rsidRDefault="004D676C" w:rsidP="004D676C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24"/>
          <w:szCs w:val="24"/>
        </w:rPr>
      </w:pPr>
    </w:p>
    <w:p w14:paraId="2D561E96" w14:textId="076928F4" w:rsidR="00F8217F" w:rsidRPr="00D96174" w:rsidRDefault="00F8217F" w:rsidP="00D96174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24"/>
          <w:szCs w:val="24"/>
        </w:rPr>
      </w:pPr>
      <w:r w:rsidRPr="00D96174">
        <w:rPr>
          <w:rFonts w:ascii="Plus Jakarta Sans" w:hAnsi="Plus Jakarta Sans"/>
          <w:color w:val="000000" w:themeColor="text1"/>
          <w:sz w:val="24"/>
          <w:szCs w:val="24"/>
        </w:rPr>
        <w:t>Classify each loyalty component based on the level of consistency, configuration, ownership, and approval it requires. The suggested starting point below can be adjusted to fit your operating model.</w:t>
      </w:r>
    </w:p>
    <w:p w14:paraId="31077FB5" w14:textId="77777777" w:rsidR="004D676C" w:rsidRPr="00D96174" w:rsidRDefault="004D676C" w:rsidP="00D96174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24"/>
          <w:szCs w:val="24"/>
        </w:rPr>
      </w:pPr>
    </w:p>
    <w:p w14:paraId="2C7090FE" w14:textId="7879B9DB" w:rsidR="004D676C" w:rsidRPr="00D96174" w:rsidRDefault="008C3B4B" w:rsidP="00D96174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18"/>
          <w:szCs w:val="18"/>
        </w:rPr>
      </w:pPr>
      <w:r w:rsidRPr="00D96174">
        <w:rPr>
          <w:rFonts w:ascii="Plus Jakarta Sans" w:hAnsi="Plus Jakarta Sans"/>
          <w:b/>
          <w:color w:val="000000" w:themeColor="text1"/>
          <w:sz w:val="18"/>
          <w:szCs w:val="18"/>
        </w:rPr>
        <w:t xml:space="preserve">Ownership choices: </w:t>
      </w:r>
      <w:r w:rsidRPr="00D96174">
        <w:rPr>
          <w:rFonts w:ascii="Plus Jakarta Sans" w:hAnsi="Plus Jakarta Sans"/>
          <w:color w:val="000000" w:themeColor="text1"/>
          <w:sz w:val="18"/>
          <w:szCs w:val="18"/>
        </w:rPr>
        <w:t xml:space="preserve">Global </w:t>
      </w:r>
      <w:proofErr w:type="gramStart"/>
      <w:r w:rsidRPr="00D96174">
        <w:rPr>
          <w:rFonts w:ascii="Plus Jakarta Sans" w:hAnsi="Plus Jakarta Sans"/>
          <w:color w:val="000000" w:themeColor="text1"/>
          <w:sz w:val="18"/>
          <w:szCs w:val="18"/>
        </w:rPr>
        <w:t>standard  |</w:t>
      </w:r>
      <w:proofErr w:type="gramEnd"/>
      <w:r w:rsidRPr="00D96174">
        <w:rPr>
          <w:rFonts w:ascii="Plus Jakarta Sans" w:hAnsi="Plus Jakarta Sans"/>
          <w:color w:val="000000" w:themeColor="text1"/>
          <w:sz w:val="18"/>
          <w:szCs w:val="18"/>
        </w:rPr>
        <w:t xml:space="preserve">  Global framework with local </w:t>
      </w:r>
      <w:proofErr w:type="gramStart"/>
      <w:r w:rsidRPr="00D96174">
        <w:rPr>
          <w:rFonts w:ascii="Plus Jakarta Sans" w:hAnsi="Plus Jakarta Sans"/>
          <w:color w:val="000000" w:themeColor="text1"/>
          <w:sz w:val="18"/>
          <w:szCs w:val="18"/>
        </w:rPr>
        <w:t>configuration  |</w:t>
      </w:r>
      <w:proofErr w:type="gramEnd"/>
      <w:r w:rsidRPr="00D96174">
        <w:rPr>
          <w:rFonts w:ascii="Plus Jakarta Sans" w:hAnsi="Plus Jakarta Sans"/>
          <w:color w:val="000000" w:themeColor="text1"/>
          <w:sz w:val="18"/>
          <w:szCs w:val="18"/>
        </w:rPr>
        <w:t xml:space="preserve">  Local decision within </w:t>
      </w:r>
      <w:proofErr w:type="gramStart"/>
      <w:r w:rsidRPr="00D96174">
        <w:rPr>
          <w:rFonts w:ascii="Plus Jakarta Sans" w:hAnsi="Plus Jakarta Sans"/>
          <w:color w:val="000000" w:themeColor="text1"/>
          <w:sz w:val="18"/>
          <w:szCs w:val="18"/>
        </w:rPr>
        <w:t>guardrails  |</w:t>
      </w:r>
      <w:proofErr w:type="gramEnd"/>
      <w:r w:rsidRPr="00D96174">
        <w:rPr>
          <w:rFonts w:ascii="Plus Jakarta Sans" w:hAnsi="Plus Jakarta Sans"/>
          <w:color w:val="000000" w:themeColor="text1"/>
          <w:sz w:val="18"/>
          <w:szCs w:val="18"/>
        </w:rPr>
        <w:t xml:space="preserve">  Shared approval</w:t>
      </w:r>
    </w:p>
    <w:tbl>
      <w:tblPr>
        <w:tblW w:w="0" w:type="auto"/>
        <w:jc w:val="center"/>
        <w:tblBorders>
          <w:top w:val="single" w:sz="4" w:space="0" w:color="D6E1E8"/>
          <w:left w:val="single" w:sz="4" w:space="0" w:color="D6E1E8"/>
          <w:bottom w:val="single" w:sz="4" w:space="0" w:color="D6E1E8"/>
          <w:right w:val="single" w:sz="4" w:space="0" w:color="D6E1E8"/>
          <w:insideH w:val="single" w:sz="4" w:space="0" w:color="D6E1E8"/>
          <w:insideV w:val="single" w:sz="4" w:space="0" w:color="D6E1E8"/>
        </w:tblBorders>
        <w:tblLook w:val="04A0" w:firstRow="1" w:lastRow="0" w:firstColumn="1" w:lastColumn="0" w:noHBand="0" w:noVBand="1"/>
      </w:tblPr>
      <w:tblGrid>
        <w:gridCol w:w="1800"/>
        <w:gridCol w:w="2088"/>
        <w:gridCol w:w="2520"/>
        <w:gridCol w:w="1584"/>
        <w:gridCol w:w="1944"/>
      </w:tblGrid>
      <w:tr w:rsidR="00D96174" w:rsidRPr="00D96174" w14:paraId="25FCC623" w14:textId="77777777" w:rsidTr="005E0EA7">
        <w:trPr>
          <w:cantSplit/>
          <w:trHeight w:val="204"/>
          <w:tblHeader/>
          <w:jc w:val="center"/>
        </w:trPr>
        <w:tc>
          <w:tcPr>
            <w:tcW w:w="1800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9F0E117" w14:textId="77777777" w:rsidR="00D96174" w:rsidRPr="00D96174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D96174">
              <w:rPr>
                <w:rFonts w:ascii="Plus Jakarta Sans" w:hAnsi="Plus Jakarta Sans"/>
                <w:b/>
                <w:color w:val="FFFFFF"/>
                <w:sz w:val="18"/>
              </w:rPr>
              <w:t>Loyalty component</w:t>
            </w:r>
          </w:p>
        </w:tc>
        <w:tc>
          <w:tcPr>
            <w:tcW w:w="2088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8F80DFD" w14:textId="77777777" w:rsidR="00D96174" w:rsidRPr="00D96174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D96174">
              <w:rPr>
                <w:rFonts w:ascii="Plus Jakarta Sans" w:hAnsi="Plus Jakarta Sans"/>
                <w:b/>
                <w:color w:val="FFFFFF"/>
                <w:sz w:val="18"/>
              </w:rPr>
              <w:t>Suggested starting point</w:t>
            </w:r>
          </w:p>
        </w:tc>
        <w:tc>
          <w:tcPr>
            <w:tcW w:w="2520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F3D8C8F" w14:textId="77777777" w:rsidR="00D96174" w:rsidRPr="00D96174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D96174">
              <w:rPr>
                <w:rFonts w:ascii="Plus Jakarta Sans" w:hAnsi="Plus Jakarta Sans"/>
                <w:b/>
                <w:color w:val="FFFFFF"/>
                <w:sz w:val="18"/>
              </w:rPr>
              <w:t>Rationale</w:t>
            </w:r>
          </w:p>
        </w:tc>
        <w:tc>
          <w:tcPr>
            <w:tcW w:w="1584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7462823" w14:textId="77777777" w:rsidR="00D96174" w:rsidRPr="00D96174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D96174">
              <w:rPr>
                <w:rFonts w:ascii="Plus Jakarta Sans" w:hAnsi="Plus Jakarta Sans"/>
                <w:b/>
                <w:color w:val="FFFFFF"/>
                <w:sz w:val="18"/>
              </w:rPr>
              <w:t>Your decision</w:t>
            </w:r>
          </w:p>
        </w:tc>
        <w:tc>
          <w:tcPr>
            <w:tcW w:w="1944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97E868E" w14:textId="6602A453" w:rsidR="00D96174" w:rsidRPr="00D96174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</w:rPr>
            </w:pPr>
            <w:r w:rsidRPr="00D96174">
              <w:rPr>
                <w:rFonts w:ascii="Plus Jakarta Sans" w:hAnsi="Plus Jakarta Sans"/>
                <w:b/>
                <w:color w:val="FFFFFF"/>
                <w:sz w:val="18"/>
              </w:rPr>
              <w:t>Notes</w:t>
            </w:r>
          </w:p>
        </w:tc>
      </w:tr>
      <w:tr w:rsidR="00D96174" w:rsidRPr="00D96174" w14:paraId="4EEC16F1" w14:textId="77777777" w:rsidTr="005E0EA7">
        <w:trPr>
          <w:cantSplit/>
          <w:trHeight w:val="336"/>
          <w:jc w:val="center"/>
        </w:trPr>
        <w:tc>
          <w:tcPr>
            <w:tcW w:w="180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D49EA4E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Program purpose</w:t>
            </w:r>
          </w:p>
        </w:tc>
        <w:tc>
          <w:tcPr>
            <w:tcW w:w="2088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7AE9803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Global standard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00A97AA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Keeps loyalty connected to one customer and business strategy.</w:t>
            </w:r>
          </w:p>
        </w:tc>
        <w:tc>
          <w:tcPr>
            <w:tcW w:w="158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1690FCE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6900A68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72AC386C" w14:textId="77777777" w:rsidTr="005E0EA7">
        <w:trPr>
          <w:cantSplit/>
          <w:trHeight w:val="248"/>
          <w:jc w:val="center"/>
        </w:trPr>
        <w:tc>
          <w:tcPr>
            <w:tcW w:w="180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238F4B7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Brand and member promise</w:t>
            </w:r>
          </w:p>
        </w:tc>
        <w:tc>
          <w:tcPr>
            <w:tcW w:w="2088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E10F029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Global standard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ADA5360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Ensures the program feels like one brand.</w:t>
            </w:r>
          </w:p>
        </w:tc>
        <w:tc>
          <w:tcPr>
            <w:tcW w:w="158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4BD54BA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E684F05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40545AF3" w14:textId="77777777" w:rsidTr="005E0EA7">
        <w:trPr>
          <w:cantSplit/>
          <w:trHeight w:val="336"/>
          <w:jc w:val="center"/>
        </w:trPr>
        <w:tc>
          <w:tcPr>
            <w:tcW w:w="180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3FD7D9F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Program name and visual identity</w:t>
            </w:r>
          </w:p>
        </w:tc>
        <w:tc>
          <w:tcPr>
            <w:tcW w:w="2088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EC9164D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Global or shared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3696422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Protects recognition while allowing language adaptation.</w:t>
            </w:r>
          </w:p>
        </w:tc>
        <w:tc>
          <w:tcPr>
            <w:tcW w:w="158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D33563A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57FBBCB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31333D4A" w14:textId="77777777" w:rsidTr="005E0EA7">
        <w:trPr>
          <w:cantSplit/>
          <w:trHeight w:val="248"/>
          <w:jc w:val="center"/>
        </w:trPr>
        <w:tc>
          <w:tcPr>
            <w:tcW w:w="180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F31EE05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Customer identity model</w:t>
            </w:r>
          </w:p>
        </w:tc>
        <w:tc>
          <w:tcPr>
            <w:tcW w:w="2088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9853C8A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Global standard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7704463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Enables connected profiles and reporting.</w:t>
            </w:r>
          </w:p>
        </w:tc>
        <w:tc>
          <w:tcPr>
            <w:tcW w:w="158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8FC6408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596471F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14F95423" w14:textId="77777777" w:rsidTr="005E0EA7">
        <w:trPr>
          <w:cantSplit/>
          <w:trHeight w:val="336"/>
          <w:jc w:val="center"/>
        </w:trPr>
        <w:tc>
          <w:tcPr>
            <w:tcW w:w="180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5C30F3C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Data definitions</w:t>
            </w:r>
          </w:p>
        </w:tc>
        <w:tc>
          <w:tcPr>
            <w:tcW w:w="2088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72C31FB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Global standard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5866B6F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Prevents inconsistent metrics and fragmented insights.</w:t>
            </w:r>
          </w:p>
        </w:tc>
        <w:tc>
          <w:tcPr>
            <w:tcW w:w="158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0D467E7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FA2D605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20DDD065" w14:textId="77777777" w:rsidTr="005E0EA7">
        <w:trPr>
          <w:cantSplit/>
          <w:trHeight w:val="321"/>
          <w:jc w:val="center"/>
        </w:trPr>
        <w:tc>
          <w:tcPr>
            <w:tcW w:w="180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C1D7FC8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Privacy and security standards</w:t>
            </w:r>
          </w:p>
        </w:tc>
        <w:tc>
          <w:tcPr>
            <w:tcW w:w="2088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2BBF6EB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Global minimum + local compliance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FFC785B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Creates enterprise standards while respecting local law.</w:t>
            </w:r>
          </w:p>
        </w:tc>
        <w:tc>
          <w:tcPr>
            <w:tcW w:w="158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3A1EC82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5FB32EF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2AFA240B" w14:textId="77777777" w:rsidTr="005E0EA7">
        <w:trPr>
          <w:cantSplit/>
          <w:trHeight w:val="336"/>
          <w:jc w:val="center"/>
        </w:trPr>
        <w:tc>
          <w:tcPr>
            <w:tcW w:w="180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89076CC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Core loyalty platform</w:t>
            </w:r>
          </w:p>
        </w:tc>
        <w:tc>
          <w:tcPr>
            <w:tcW w:w="2088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92A7495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Global standard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CC7575D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Reduces duplication and supports connected data.</w:t>
            </w:r>
          </w:p>
        </w:tc>
        <w:tc>
          <w:tcPr>
            <w:tcW w:w="158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66F5F75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9ADC8B8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51961D13" w14:textId="77777777" w:rsidTr="005E0EA7">
        <w:trPr>
          <w:cantSplit/>
          <w:trHeight w:val="248"/>
          <w:jc w:val="center"/>
        </w:trPr>
        <w:tc>
          <w:tcPr>
            <w:tcW w:w="180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94594BC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KPI definitions</w:t>
            </w:r>
          </w:p>
        </w:tc>
        <w:tc>
          <w:tcPr>
            <w:tcW w:w="2088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D67C8DC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Global standard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1919495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Creates one measurement language.</w:t>
            </w:r>
          </w:p>
        </w:tc>
        <w:tc>
          <w:tcPr>
            <w:tcW w:w="158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8FE1136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5E732D6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1B88433F" w14:textId="77777777" w:rsidTr="005E0EA7">
        <w:trPr>
          <w:cantSplit/>
          <w:trHeight w:val="336"/>
          <w:jc w:val="center"/>
        </w:trPr>
        <w:tc>
          <w:tcPr>
            <w:tcW w:w="180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6E639DF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KPI targets</w:t>
            </w:r>
          </w:p>
        </w:tc>
        <w:tc>
          <w:tcPr>
            <w:tcW w:w="2088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946DCEE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Local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E9663CA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Reflects market maturity, opportunity, and constraints.</w:t>
            </w:r>
          </w:p>
        </w:tc>
        <w:tc>
          <w:tcPr>
            <w:tcW w:w="158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A7F013E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55F7E97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3A7D329C" w14:textId="77777777" w:rsidTr="005E0EA7">
        <w:trPr>
          <w:cantSplit/>
          <w:trHeight w:val="321"/>
          <w:jc w:val="center"/>
        </w:trPr>
        <w:tc>
          <w:tcPr>
            <w:tcW w:w="180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58879F0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Loyalty currency</w:t>
            </w:r>
          </w:p>
        </w:tc>
        <w:tc>
          <w:tcPr>
            <w:tcW w:w="2088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FBAD2E9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Global framework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D3A35F8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Maintains consistency while allowing local value configuration.</w:t>
            </w:r>
          </w:p>
        </w:tc>
        <w:tc>
          <w:tcPr>
            <w:tcW w:w="158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D3558B6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299346E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4E4FE888" w14:textId="77777777" w:rsidTr="005E0EA7">
        <w:trPr>
          <w:cantSplit/>
          <w:trHeight w:val="336"/>
          <w:jc w:val="center"/>
        </w:trPr>
        <w:tc>
          <w:tcPr>
            <w:tcW w:w="180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00B4B8F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Earn rates</w:t>
            </w:r>
          </w:p>
        </w:tc>
        <w:tc>
          <w:tcPr>
            <w:tcW w:w="2088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C5E9253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Local within economic guardrails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3207136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Reflects pricing, purchase frequency, and margins.</w:t>
            </w:r>
          </w:p>
        </w:tc>
        <w:tc>
          <w:tcPr>
            <w:tcW w:w="158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EA41696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8033689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58668EE8" w14:textId="77777777" w:rsidTr="005E0EA7">
        <w:trPr>
          <w:cantSplit/>
          <w:trHeight w:val="321"/>
          <w:jc w:val="center"/>
        </w:trPr>
        <w:tc>
          <w:tcPr>
            <w:tcW w:w="180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A987D2C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Redemption thresholds</w:t>
            </w:r>
          </w:p>
        </w:tc>
        <w:tc>
          <w:tcPr>
            <w:tcW w:w="2088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7070408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Local within guardrails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3329B31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Keeps rewards achievable and financially viable.</w:t>
            </w:r>
          </w:p>
        </w:tc>
        <w:tc>
          <w:tcPr>
            <w:tcW w:w="158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778A369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A21A93E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2E0EDDF6" w14:textId="77777777" w:rsidTr="005E0EA7">
        <w:trPr>
          <w:cantSplit/>
          <w:trHeight w:val="336"/>
          <w:jc w:val="center"/>
        </w:trPr>
        <w:tc>
          <w:tcPr>
            <w:tcW w:w="180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1853CE2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Reward catalog</w:t>
            </w:r>
          </w:p>
        </w:tc>
        <w:tc>
          <w:tcPr>
            <w:tcW w:w="2088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F7DABCE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Local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334C17F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Reflects customer preference and fulfillment capability.</w:t>
            </w:r>
          </w:p>
        </w:tc>
        <w:tc>
          <w:tcPr>
            <w:tcW w:w="158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9EFFFCE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7352D12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2404EF6E" w14:textId="77777777" w:rsidTr="005E0EA7">
        <w:trPr>
          <w:cantSplit/>
          <w:trHeight w:val="321"/>
          <w:jc w:val="center"/>
        </w:trPr>
        <w:tc>
          <w:tcPr>
            <w:tcW w:w="180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B65F8B8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Tier architecture</w:t>
            </w:r>
          </w:p>
        </w:tc>
        <w:tc>
          <w:tcPr>
            <w:tcW w:w="2088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2034FDB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Shared approval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41B7A6C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Protects strategic consistency while allowing local differences.</w:t>
            </w:r>
          </w:p>
        </w:tc>
        <w:tc>
          <w:tcPr>
            <w:tcW w:w="158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D34505C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AFBAC11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6AF19C3E" w14:textId="77777777" w:rsidTr="005E0EA7">
        <w:trPr>
          <w:cantSplit/>
          <w:trHeight w:val="263"/>
          <w:jc w:val="center"/>
        </w:trPr>
        <w:tc>
          <w:tcPr>
            <w:tcW w:w="180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C620E20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Tier thresholds</w:t>
            </w:r>
          </w:p>
        </w:tc>
        <w:tc>
          <w:tcPr>
            <w:tcW w:w="2088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8C4C030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Local within guardrails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F0DADE7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Accounts for local spend and frequency.</w:t>
            </w:r>
          </w:p>
        </w:tc>
        <w:tc>
          <w:tcPr>
            <w:tcW w:w="158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AD56729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7E36DA0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0A650EAB" w14:textId="77777777" w:rsidTr="005E0EA7">
        <w:trPr>
          <w:cantSplit/>
          <w:trHeight w:val="321"/>
          <w:jc w:val="center"/>
        </w:trPr>
        <w:tc>
          <w:tcPr>
            <w:tcW w:w="180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203DFF2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Core benefits</w:t>
            </w:r>
          </w:p>
        </w:tc>
        <w:tc>
          <w:tcPr>
            <w:tcW w:w="2088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9B336A1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Global framework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B43B805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Reinforces a recognizable member promise.</w:t>
            </w:r>
          </w:p>
        </w:tc>
        <w:tc>
          <w:tcPr>
            <w:tcW w:w="158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FF789A3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667E264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7BF27131" w14:textId="77777777" w:rsidTr="005E0EA7">
        <w:trPr>
          <w:cantSplit/>
          <w:trHeight w:val="321"/>
          <w:jc w:val="center"/>
        </w:trPr>
        <w:tc>
          <w:tcPr>
            <w:tcW w:w="180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1F05ECE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lastRenderedPageBreak/>
              <w:t>Promotional calendar</w:t>
            </w:r>
          </w:p>
        </w:tc>
        <w:tc>
          <w:tcPr>
            <w:tcW w:w="2088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D71F6E0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Local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818DABF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Responds to holidays, seasons, launches, and market priorities.</w:t>
            </w:r>
          </w:p>
        </w:tc>
        <w:tc>
          <w:tcPr>
            <w:tcW w:w="158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C8CB663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D3DEE78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13D3A21F" w14:textId="77777777" w:rsidTr="005E0EA7">
        <w:trPr>
          <w:cantSplit/>
          <w:trHeight w:val="336"/>
          <w:jc w:val="center"/>
        </w:trPr>
        <w:tc>
          <w:tcPr>
            <w:tcW w:w="180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3647725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Partnerships</w:t>
            </w:r>
          </w:p>
        </w:tc>
        <w:tc>
          <w:tcPr>
            <w:tcW w:w="2088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03B859C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Local or shared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68169DE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Local partners add relevance; strategic partners may require approval.</w:t>
            </w:r>
          </w:p>
        </w:tc>
        <w:tc>
          <w:tcPr>
            <w:tcW w:w="158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DC74C54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1C814D3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3D949A2F" w14:textId="77777777" w:rsidTr="005E0EA7">
        <w:trPr>
          <w:cantSplit/>
          <w:trHeight w:val="263"/>
          <w:jc w:val="center"/>
        </w:trPr>
        <w:tc>
          <w:tcPr>
            <w:tcW w:w="180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8FF2CF8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Communication standards</w:t>
            </w:r>
          </w:p>
        </w:tc>
        <w:tc>
          <w:tcPr>
            <w:tcW w:w="2088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06CF84B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Global</w:t>
            </w:r>
          </w:p>
        </w:tc>
        <w:tc>
          <w:tcPr>
            <w:tcW w:w="252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F7E12B0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Protects brand and compliance.</w:t>
            </w:r>
          </w:p>
        </w:tc>
        <w:tc>
          <w:tcPr>
            <w:tcW w:w="158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29FC1AF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5D5FE96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335CE684" w14:textId="77777777" w:rsidTr="005E0EA7">
        <w:trPr>
          <w:cantSplit/>
          <w:trHeight w:val="321"/>
          <w:jc w:val="center"/>
        </w:trPr>
        <w:tc>
          <w:tcPr>
            <w:tcW w:w="180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8EBD7D1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Message content and cadence</w:t>
            </w:r>
          </w:p>
        </w:tc>
        <w:tc>
          <w:tcPr>
            <w:tcW w:w="2088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AC31F20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Local</w:t>
            </w:r>
          </w:p>
        </w:tc>
        <w:tc>
          <w:tcPr>
            <w:tcW w:w="252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A8E034B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Reflects language, culture, and channel behavior.</w:t>
            </w:r>
          </w:p>
        </w:tc>
        <w:tc>
          <w:tcPr>
            <w:tcW w:w="158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521009C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E21022A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  <w:tr w:rsidR="00D96174" w:rsidRPr="00D96174" w14:paraId="61AA2140" w14:textId="77777777" w:rsidTr="005E0EA7">
        <w:trPr>
          <w:cantSplit/>
          <w:trHeight w:val="321"/>
          <w:jc w:val="center"/>
        </w:trPr>
        <w:tc>
          <w:tcPr>
            <w:tcW w:w="1800" w:type="dxa"/>
            <w:shd w:val="clear" w:color="auto" w:fill="FFFFFF" w:themeFill="background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DF710D8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Performance optimization</w:t>
            </w:r>
          </w:p>
        </w:tc>
        <w:tc>
          <w:tcPr>
            <w:tcW w:w="2088" w:type="dxa"/>
            <w:shd w:val="clear" w:color="auto" w:fill="FFFFFF" w:themeFill="background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A4E0922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Local with global learning</w:t>
            </w:r>
          </w:p>
        </w:tc>
        <w:tc>
          <w:tcPr>
            <w:tcW w:w="2520" w:type="dxa"/>
            <w:shd w:val="clear" w:color="auto" w:fill="FFFFFF" w:themeFill="background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EC12EF3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  <w:r w:rsidRPr="00824BE1">
              <w:rPr>
                <w:rFonts w:ascii="Plus Jakarta Sans" w:hAnsi="Plus Jakarta Sans"/>
                <w:color w:val="000000" w:themeColor="text1"/>
                <w:sz w:val="14"/>
              </w:rPr>
              <w:t>Enables relevant action while sharing insights across markets.</w:t>
            </w:r>
          </w:p>
        </w:tc>
        <w:tc>
          <w:tcPr>
            <w:tcW w:w="1584" w:type="dxa"/>
            <w:shd w:val="clear" w:color="auto" w:fill="FFFFFF" w:themeFill="background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432F2B4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  <w:tc>
          <w:tcPr>
            <w:tcW w:w="1944" w:type="dxa"/>
            <w:shd w:val="clear" w:color="auto" w:fill="FFFFFF" w:themeFill="background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1958F61" w14:textId="77777777" w:rsidR="00D96174" w:rsidRPr="00824BE1" w:rsidRDefault="00D96174" w:rsidP="00D96174">
            <w:pPr>
              <w:spacing w:after="0" w:line="240" w:lineRule="auto"/>
              <w:contextualSpacing/>
              <w:rPr>
                <w:rFonts w:ascii="Plus Jakarta Sans" w:hAnsi="Plus Jakarta Sans"/>
                <w:color w:val="000000" w:themeColor="text1"/>
              </w:rPr>
            </w:pPr>
          </w:p>
        </w:tc>
      </w:tr>
    </w:tbl>
    <w:p w14:paraId="3256D3C1" w14:textId="77777777" w:rsidR="004014E6" w:rsidRDefault="004014E6" w:rsidP="00FD35BC">
      <w:pPr>
        <w:pStyle w:val="Head1"/>
        <w:spacing w:before="0" w:after="0" w:line="240" w:lineRule="auto"/>
        <w:contextualSpacing/>
        <w:rPr>
          <w:rFonts w:ascii="Plus Jakarta Sans" w:hAnsi="Plus Jakarta Sans"/>
        </w:rPr>
      </w:pPr>
      <w:bookmarkStart w:id="5" w:name="_Toc236399584"/>
    </w:p>
    <w:p w14:paraId="41F162E1" w14:textId="1938C7D4" w:rsidR="00FD35BC" w:rsidRPr="00B97F43" w:rsidRDefault="00FD35BC" w:rsidP="00FD35BC">
      <w:pPr>
        <w:pStyle w:val="Head1"/>
        <w:spacing w:before="0" w:after="0" w:line="240" w:lineRule="auto"/>
        <w:contextualSpacing/>
        <w:rPr>
          <w:rFonts w:ascii="Plus Jakarta Sans" w:hAnsi="Plus Jakarta Sans"/>
        </w:rPr>
      </w:pPr>
      <w:r>
        <w:rPr>
          <w:rFonts w:ascii="Plus Jakarta Sans" w:hAnsi="Plus Jakarta Sans"/>
        </w:rPr>
        <w:t>Part 4: Select the program model</w:t>
      </w:r>
      <w:bookmarkEnd w:id="5"/>
    </w:p>
    <w:p w14:paraId="646B2BCD" w14:textId="77777777" w:rsidR="00FD35BC" w:rsidRPr="002E2F6B" w:rsidRDefault="00FD35BC" w:rsidP="002E2F6B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24"/>
          <w:szCs w:val="24"/>
        </w:rPr>
      </w:pPr>
    </w:p>
    <w:p w14:paraId="6ABDF4B5" w14:textId="3E6CCC06" w:rsidR="00FD35BC" w:rsidRDefault="00954F72" w:rsidP="002E2F6B">
      <w:pPr>
        <w:spacing w:after="0" w:line="240" w:lineRule="auto"/>
        <w:rPr>
          <w:rFonts w:ascii="Plus Jakarta Sans" w:hAnsi="Plus Jakarta Sans"/>
          <w:color w:val="000000" w:themeColor="text1"/>
          <w:sz w:val="24"/>
          <w:szCs w:val="24"/>
        </w:rPr>
      </w:pPr>
      <w:r w:rsidRPr="002E2F6B">
        <w:rPr>
          <w:rFonts w:ascii="Plus Jakarta Sans" w:hAnsi="Plus Jakarta Sans"/>
          <w:color w:val="000000" w:themeColor="text1"/>
          <w:sz w:val="24"/>
          <w:szCs w:val="24"/>
        </w:rPr>
        <w:t>Use the assessment results and critical exceptions to select the operating model that best balances global scale with local relevance.</w:t>
      </w:r>
    </w:p>
    <w:p w14:paraId="5BF66A09" w14:textId="77777777" w:rsidR="002E2F6B" w:rsidRPr="002E2F6B" w:rsidRDefault="002E2F6B" w:rsidP="002E2F6B">
      <w:pPr>
        <w:spacing w:after="0" w:line="240" w:lineRule="auto"/>
        <w:rPr>
          <w:rFonts w:ascii="Plus Jakarta Sans" w:hAnsi="Plus Jakarta Sans"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D6E1E8"/>
          <w:left w:val="single" w:sz="4" w:space="0" w:color="D6E1E8"/>
          <w:bottom w:val="single" w:sz="4" w:space="0" w:color="D6E1E8"/>
          <w:right w:val="single" w:sz="4" w:space="0" w:color="D6E1E8"/>
          <w:insideH w:val="single" w:sz="4" w:space="0" w:color="D6E1E8"/>
          <w:insideV w:val="single" w:sz="4" w:space="0" w:color="D6E1E8"/>
        </w:tblBorders>
        <w:tblLook w:val="04A0" w:firstRow="1" w:lastRow="0" w:firstColumn="1" w:lastColumn="0" w:noHBand="0" w:noVBand="1"/>
      </w:tblPr>
      <w:tblGrid>
        <w:gridCol w:w="2466"/>
        <w:gridCol w:w="2873"/>
        <w:gridCol w:w="2013"/>
        <w:gridCol w:w="2012"/>
        <w:gridCol w:w="706"/>
      </w:tblGrid>
      <w:tr w:rsidR="002E2F6B" w:rsidRPr="002E2F6B" w14:paraId="33AA8C46" w14:textId="77777777" w:rsidTr="00314896">
        <w:trPr>
          <w:cantSplit/>
          <w:tblHeader/>
          <w:jc w:val="center"/>
        </w:trPr>
        <w:tc>
          <w:tcPr>
            <w:tcW w:w="2471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9890B9A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</w:rPr>
            </w:pPr>
            <w:r w:rsidRPr="002E2F6B">
              <w:rPr>
                <w:rFonts w:ascii="Plus Jakarta Sans" w:hAnsi="Plus Jakarta Sans"/>
                <w:b/>
                <w:color w:val="FFFFFF"/>
                <w:sz w:val="18"/>
              </w:rPr>
              <w:t>Model</w:t>
            </w:r>
          </w:p>
        </w:tc>
        <w:tc>
          <w:tcPr>
            <w:tcW w:w="2880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98ECAC5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</w:rPr>
            </w:pPr>
            <w:r w:rsidRPr="002E2F6B">
              <w:rPr>
                <w:rFonts w:ascii="Plus Jakarta Sans" w:hAnsi="Plus Jakarta Sans"/>
                <w:b/>
                <w:color w:val="FFFFFF"/>
                <w:sz w:val="18"/>
              </w:rPr>
              <w:t>Best fit when…</w:t>
            </w:r>
          </w:p>
        </w:tc>
        <w:tc>
          <w:tcPr>
            <w:tcW w:w="2016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605A768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</w:rPr>
            </w:pPr>
            <w:r w:rsidRPr="002E2F6B">
              <w:rPr>
                <w:rFonts w:ascii="Plus Jakarta Sans" w:hAnsi="Plus Jakarta Sans"/>
                <w:b/>
                <w:color w:val="FFFFFF"/>
                <w:sz w:val="18"/>
              </w:rPr>
              <w:t>Primary advantage</w:t>
            </w:r>
          </w:p>
        </w:tc>
        <w:tc>
          <w:tcPr>
            <w:tcW w:w="2016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1F41155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</w:rPr>
            </w:pPr>
            <w:r w:rsidRPr="002E2F6B">
              <w:rPr>
                <w:rFonts w:ascii="Plus Jakarta Sans" w:hAnsi="Plus Jakarta Sans"/>
                <w:b/>
                <w:color w:val="FFFFFF"/>
                <w:sz w:val="18"/>
              </w:rPr>
              <w:t>Primary watchout</w:t>
            </w:r>
          </w:p>
        </w:tc>
        <w:tc>
          <w:tcPr>
            <w:tcW w:w="664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B49A778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</w:rPr>
            </w:pPr>
            <w:r w:rsidRPr="002E2F6B">
              <w:rPr>
                <w:rFonts w:ascii="Plus Jakarta Sans" w:hAnsi="Plus Jakarta Sans"/>
                <w:b/>
                <w:color w:val="FFFFFF"/>
                <w:sz w:val="18"/>
              </w:rPr>
              <w:t>Select</w:t>
            </w:r>
          </w:p>
        </w:tc>
      </w:tr>
      <w:tr w:rsidR="002E2F6B" w:rsidRPr="002E2F6B" w14:paraId="644D5B7D" w14:textId="77777777" w:rsidTr="002E2F6B">
        <w:trPr>
          <w:cantSplit/>
          <w:jc w:val="center"/>
        </w:trPr>
        <w:tc>
          <w:tcPr>
            <w:tcW w:w="2471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0D41F90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Global standard</w:t>
            </w:r>
          </w:p>
        </w:tc>
        <w:tc>
          <w:tcPr>
            <w:tcW w:w="288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4CBB1C0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Customer expectations, brand experience, economics, and infrastructure are highly consistent. Cross-border participation matters.</w:t>
            </w:r>
          </w:p>
        </w:tc>
        <w:tc>
          <w:tcPr>
            <w:tcW w:w="201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56EF5CF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Maximum consistency and operating efficiency.</w:t>
            </w:r>
          </w:p>
        </w:tc>
        <w:tc>
          <w:tcPr>
            <w:tcW w:w="201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CD8BE9F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May overlook meaningful local differences.</w:t>
            </w:r>
          </w:p>
        </w:tc>
        <w:tc>
          <w:tcPr>
            <w:tcW w:w="66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215AAFD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Segoe UI Symbol" w:hAnsi="Segoe UI Symbol" w:cs="Segoe UI Symbol"/>
                <w:color w:val="000000" w:themeColor="text1"/>
                <w:sz w:val="15"/>
              </w:rPr>
              <w:t>☐</w:t>
            </w:r>
          </w:p>
        </w:tc>
      </w:tr>
      <w:tr w:rsidR="002E2F6B" w:rsidRPr="002E2F6B" w14:paraId="4719C0E2" w14:textId="77777777" w:rsidTr="002E2F6B">
        <w:trPr>
          <w:cantSplit/>
          <w:jc w:val="center"/>
        </w:trPr>
        <w:tc>
          <w:tcPr>
            <w:tcW w:w="2471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6BBB15E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Global framework with local configuration</w:t>
            </w:r>
          </w:p>
        </w:tc>
        <w:tc>
          <w:tcPr>
            <w:tcW w:w="288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990064A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The brand needs one strategy, platform, and data foundation, while markets require different mechanics, rewards, or campaigns.</w:t>
            </w:r>
          </w:p>
        </w:tc>
        <w:tc>
          <w:tcPr>
            <w:tcW w:w="201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54E25FD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Balances scale, control, and local relevance.</w:t>
            </w:r>
          </w:p>
        </w:tc>
        <w:tc>
          <w:tcPr>
            <w:tcW w:w="201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2144456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Requires clear guardrails and configurable technology.</w:t>
            </w:r>
          </w:p>
        </w:tc>
        <w:tc>
          <w:tcPr>
            <w:tcW w:w="66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E8E6086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Segoe UI Symbol" w:hAnsi="Segoe UI Symbol" w:cs="Segoe UI Symbol"/>
                <w:color w:val="000000" w:themeColor="text1"/>
                <w:sz w:val="15"/>
              </w:rPr>
              <w:t>☐</w:t>
            </w:r>
          </w:p>
        </w:tc>
      </w:tr>
      <w:tr w:rsidR="002E2F6B" w:rsidRPr="002E2F6B" w14:paraId="380C5AC7" w14:textId="77777777" w:rsidTr="002E2F6B">
        <w:trPr>
          <w:cantSplit/>
          <w:jc w:val="center"/>
        </w:trPr>
        <w:tc>
          <w:tcPr>
            <w:tcW w:w="2471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2096D87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Regional programs within global guardrails</w:t>
            </w:r>
          </w:p>
        </w:tc>
        <w:tc>
          <w:tcPr>
            <w:tcW w:w="2880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EBB9C32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 xml:space="preserve">Customer behavior, economics, and competitive conditions vary </w:t>
            </w:r>
            <w:proofErr w:type="gramStart"/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significantly</w:t>
            </w:r>
            <w:proofErr w:type="gramEnd"/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 xml:space="preserve"> and regional teams have strong capabilities.</w:t>
            </w:r>
          </w:p>
        </w:tc>
        <w:tc>
          <w:tcPr>
            <w:tcW w:w="201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E64274A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Greater local ownership and responsiveness.</w:t>
            </w:r>
          </w:p>
        </w:tc>
        <w:tc>
          <w:tcPr>
            <w:tcW w:w="201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3444F45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Can fragment without strong global standards.</w:t>
            </w:r>
          </w:p>
        </w:tc>
        <w:tc>
          <w:tcPr>
            <w:tcW w:w="664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EA200FA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Segoe UI Symbol" w:hAnsi="Segoe UI Symbol" w:cs="Segoe UI Symbol"/>
                <w:color w:val="000000" w:themeColor="text1"/>
                <w:sz w:val="15"/>
              </w:rPr>
              <w:t>☐</w:t>
            </w:r>
          </w:p>
        </w:tc>
      </w:tr>
      <w:tr w:rsidR="002E2F6B" w:rsidRPr="002E2F6B" w14:paraId="224E8D9A" w14:textId="77777777" w:rsidTr="002E2F6B">
        <w:trPr>
          <w:cantSplit/>
          <w:jc w:val="center"/>
        </w:trPr>
        <w:tc>
          <w:tcPr>
            <w:tcW w:w="2471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D03439B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Market-specific program</w:t>
            </w:r>
          </w:p>
        </w:tc>
        <w:tc>
          <w:tcPr>
            <w:tcW w:w="2880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1457DCF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 xml:space="preserve">A highly differentiated, strategically important market cannot be served effectively through </w:t>
            </w:r>
            <w:proofErr w:type="gramStart"/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the</w:t>
            </w:r>
            <w:proofErr w:type="gramEnd"/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 xml:space="preserve"> broader framework.</w:t>
            </w:r>
          </w:p>
        </w:tc>
        <w:tc>
          <w:tcPr>
            <w:tcW w:w="201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1F82247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Plus Jakarta Sans" w:hAnsi="Plus Jakarta Sans"/>
                <w:color w:val="000000" w:themeColor="text1"/>
                <w:sz w:val="15"/>
              </w:rPr>
              <w:t>Maximum local fit.</w:t>
            </w:r>
          </w:p>
        </w:tc>
        <w:tc>
          <w:tcPr>
            <w:tcW w:w="2016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747BA7D" w14:textId="0E6A992A" w:rsidR="002E2F6B" w:rsidRPr="002E2F6B" w:rsidRDefault="00304C4E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>
              <w:rPr>
                <w:rFonts w:ascii="Plus Jakarta Sans" w:hAnsi="Plus Jakarta Sans"/>
                <w:color w:val="000000" w:themeColor="text1"/>
                <w:sz w:val="15"/>
              </w:rPr>
              <w:t>Often has the highest</w:t>
            </w:r>
            <w:r w:rsidR="002E2F6B" w:rsidRPr="002E2F6B">
              <w:rPr>
                <w:rFonts w:ascii="Plus Jakarta Sans" w:hAnsi="Plus Jakarta Sans"/>
                <w:color w:val="000000" w:themeColor="text1"/>
                <w:sz w:val="15"/>
              </w:rPr>
              <w:t xml:space="preserve"> cost</w:t>
            </w:r>
            <w:r>
              <w:rPr>
                <w:rFonts w:ascii="Plus Jakarta Sans" w:hAnsi="Plus Jakarta Sans"/>
                <w:color w:val="000000" w:themeColor="text1"/>
                <w:sz w:val="15"/>
              </w:rPr>
              <w:t xml:space="preserve"> and operating </w:t>
            </w:r>
            <w:r w:rsidR="002E2F6B" w:rsidRPr="002E2F6B">
              <w:rPr>
                <w:rFonts w:ascii="Plus Jakarta Sans" w:hAnsi="Plus Jakarta Sans"/>
                <w:color w:val="000000" w:themeColor="text1"/>
                <w:sz w:val="15"/>
              </w:rPr>
              <w:t>complexity.</w:t>
            </w:r>
          </w:p>
        </w:tc>
        <w:tc>
          <w:tcPr>
            <w:tcW w:w="664" w:type="dxa"/>
            <w:shd w:val="clear" w:color="auto" w:fill="F6F8F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5CA05D5" w14:textId="77777777" w:rsidR="002E2F6B" w:rsidRPr="002E2F6B" w:rsidRDefault="002E2F6B" w:rsidP="002E2F6B">
            <w:pPr>
              <w:spacing w:after="0" w:line="240" w:lineRule="auto"/>
              <w:rPr>
                <w:rFonts w:ascii="Plus Jakarta Sans" w:hAnsi="Plus Jakarta Sans"/>
                <w:color w:val="000000" w:themeColor="text1"/>
              </w:rPr>
            </w:pPr>
            <w:r w:rsidRPr="002E2F6B">
              <w:rPr>
                <w:rFonts w:ascii="Segoe UI Symbol" w:hAnsi="Segoe UI Symbol" w:cs="Segoe UI Symbol"/>
                <w:color w:val="000000" w:themeColor="text1"/>
                <w:sz w:val="15"/>
              </w:rPr>
              <w:t>☐</w:t>
            </w:r>
          </w:p>
        </w:tc>
      </w:tr>
    </w:tbl>
    <w:p w14:paraId="3EEB2A48" w14:textId="77777777" w:rsidR="002E2F6B" w:rsidRDefault="002E2F6B" w:rsidP="002E2F6B">
      <w:pPr>
        <w:spacing w:after="0" w:line="240" w:lineRule="auto"/>
        <w:contextualSpacing/>
        <w:rPr>
          <w:rFonts w:ascii="Plus Jakarta Sans" w:hAnsi="Plus Jakarta Sans"/>
          <w:b/>
          <w:color w:val="000000" w:themeColor="text1"/>
          <w:sz w:val="24"/>
          <w:szCs w:val="24"/>
        </w:rPr>
      </w:pPr>
    </w:p>
    <w:p w14:paraId="449B34E0" w14:textId="7283E915" w:rsidR="002E2F6B" w:rsidRPr="00123791" w:rsidRDefault="00D50053" w:rsidP="002E2F6B">
      <w:pPr>
        <w:spacing w:after="0" w:line="240" w:lineRule="auto"/>
        <w:contextualSpacing/>
        <w:rPr>
          <w:rFonts w:ascii="Plus Jakarta Sans" w:hAnsi="Plus Jakarta Sans"/>
          <w:color w:val="000000" w:themeColor="text1"/>
          <w:sz w:val="24"/>
          <w:szCs w:val="24"/>
        </w:rPr>
      </w:pPr>
      <w:r>
        <w:rPr>
          <w:rFonts w:ascii="Plus Jakarta Sans" w:hAnsi="Plus Jakarta Sans"/>
          <w:b/>
          <w:color w:val="000000" w:themeColor="text1"/>
          <w:sz w:val="24"/>
          <w:szCs w:val="24"/>
        </w:rPr>
        <w:t>Decision rules</w:t>
      </w:r>
    </w:p>
    <w:tbl>
      <w:tblPr>
        <w:tblW w:w="0" w:type="auto"/>
        <w:jc w:val="center"/>
        <w:tblBorders>
          <w:top w:val="single" w:sz="4" w:space="0" w:color="D6E1E8"/>
          <w:left w:val="single" w:sz="4" w:space="0" w:color="D6E1E8"/>
          <w:bottom w:val="single" w:sz="4" w:space="0" w:color="D6E1E8"/>
          <w:right w:val="single" w:sz="4" w:space="0" w:color="D6E1E8"/>
          <w:insideH w:val="single" w:sz="4" w:space="0" w:color="D6E1E8"/>
          <w:insideV w:val="single" w:sz="4" w:space="0" w:color="D6E1E8"/>
        </w:tblBorders>
        <w:tblLook w:val="04A0" w:firstRow="1" w:lastRow="0" w:firstColumn="1" w:lastColumn="0" w:noHBand="0" w:noVBand="1"/>
      </w:tblPr>
      <w:tblGrid>
        <w:gridCol w:w="3713"/>
        <w:gridCol w:w="3168"/>
        <w:gridCol w:w="3168"/>
      </w:tblGrid>
      <w:tr w:rsidR="0071094F" w14:paraId="0D036EDA" w14:textId="77777777" w:rsidTr="00314896">
        <w:trPr>
          <w:cantSplit/>
          <w:tblHeader/>
          <w:jc w:val="center"/>
        </w:trPr>
        <w:tc>
          <w:tcPr>
            <w:tcW w:w="3713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2C4791E" w14:textId="77777777" w:rsidR="0071094F" w:rsidRDefault="0071094F" w:rsidP="00324000">
            <w:pPr>
              <w:spacing w:after="0" w:line="240" w:lineRule="auto"/>
              <w:rPr>
                <w:rFonts w:ascii="Aptos" w:hAnsi="Aptos"/>
                <w:b/>
                <w:color w:val="FFFFFF"/>
                <w:sz w:val="18"/>
              </w:rPr>
            </w:pPr>
            <w:r>
              <w:rPr>
                <w:rFonts w:ascii="Aptos" w:hAnsi="Aptos"/>
                <w:b/>
                <w:color w:val="FFFFFF"/>
                <w:sz w:val="18"/>
              </w:rPr>
              <w:t xml:space="preserve">Choose a more global model </w:t>
            </w:r>
          </w:p>
          <w:p w14:paraId="5367F5ED" w14:textId="7FC8507B" w:rsidR="0071094F" w:rsidRDefault="0071094F" w:rsidP="00324000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>when…</w:t>
            </w:r>
          </w:p>
        </w:tc>
        <w:tc>
          <w:tcPr>
            <w:tcW w:w="3168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652677A" w14:textId="77777777" w:rsidR="0071094F" w:rsidRDefault="0071094F" w:rsidP="00324000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>Choose greater local flexibility when…</w:t>
            </w:r>
          </w:p>
        </w:tc>
        <w:tc>
          <w:tcPr>
            <w:tcW w:w="3168" w:type="dxa"/>
            <w:shd w:val="clear" w:color="auto" w:fill="1C1F38" w:themeFill="accent1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2FEAA44" w14:textId="77777777" w:rsidR="0071094F" w:rsidRDefault="0071094F" w:rsidP="00324000">
            <w:pPr>
              <w:spacing w:after="0" w:line="240" w:lineRule="auto"/>
              <w:rPr>
                <w:rFonts w:ascii="Aptos" w:hAnsi="Aptos"/>
                <w:b/>
                <w:color w:val="FFFFFF"/>
                <w:sz w:val="18"/>
              </w:rPr>
            </w:pPr>
            <w:r>
              <w:rPr>
                <w:rFonts w:ascii="Aptos" w:hAnsi="Aptos"/>
                <w:b/>
                <w:color w:val="FFFFFF"/>
                <w:sz w:val="18"/>
              </w:rPr>
              <w:t xml:space="preserve">Use a phased approach </w:t>
            </w:r>
          </w:p>
          <w:p w14:paraId="3258A01E" w14:textId="06674640" w:rsidR="0071094F" w:rsidRDefault="0071094F" w:rsidP="00324000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>when…</w:t>
            </w:r>
          </w:p>
        </w:tc>
      </w:tr>
      <w:tr w:rsidR="0071094F" w14:paraId="7EE6D35B" w14:textId="77777777" w:rsidTr="0071094F">
        <w:trPr>
          <w:cantSplit/>
          <w:jc w:val="center"/>
        </w:trPr>
        <w:tc>
          <w:tcPr>
            <w:tcW w:w="3713" w:type="dxa"/>
            <w:tcMar>
              <w:top w:w="75" w:type="dxa"/>
              <w:left w:w="70" w:type="dxa"/>
              <w:bottom w:w="75" w:type="dxa"/>
              <w:right w:w="70" w:type="dxa"/>
            </w:tcMar>
          </w:tcPr>
          <w:p w14:paraId="57C04D67" w14:textId="77777777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85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Customers regularly engage across borders</w:t>
            </w:r>
          </w:p>
          <w:p w14:paraId="076648B4" w14:textId="77777777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85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The brand experience is highly consistent</w:t>
            </w:r>
          </w:p>
          <w:p w14:paraId="79FFE486" w14:textId="77777777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85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Products, pricing, and channel models are similar</w:t>
            </w:r>
          </w:p>
          <w:p w14:paraId="68EEDF4A" w14:textId="77777777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85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Central data and technology are connected</w:t>
            </w:r>
          </w:p>
          <w:p w14:paraId="2EF90867" w14:textId="77777777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85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Global recognition and efficiency are priorities</w:t>
            </w:r>
          </w:p>
        </w:tc>
        <w:tc>
          <w:tcPr>
            <w:tcW w:w="3168" w:type="dxa"/>
            <w:tcMar>
              <w:top w:w="75" w:type="dxa"/>
              <w:left w:w="70" w:type="dxa"/>
              <w:bottom w:w="75" w:type="dxa"/>
              <w:right w:w="70" w:type="dxa"/>
            </w:tcMar>
          </w:tcPr>
          <w:p w14:paraId="22C42E30" w14:textId="7AA911D2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56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Customer behavior and expectations differ</w:t>
            </w:r>
          </w:p>
          <w:p w14:paraId="5B2CA7F3" w14:textId="77777777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56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Markets have distinct economics or regulation</w:t>
            </w:r>
          </w:p>
          <w:p w14:paraId="5B33FE2D" w14:textId="77777777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56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Regional products, channels, or partners matter</w:t>
            </w:r>
          </w:p>
          <w:p w14:paraId="74AAE993" w14:textId="77777777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56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Local promotional calendars dominate</w:t>
            </w:r>
          </w:p>
          <w:p w14:paraId="5BCF9573" w14:textId="64CFB42B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56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 xml:space="preserve">Regional </w:t>
            </w:r>
            <w:proofErr w:type="gramStart"/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teams</w:t>
            </w:r>
            <w:proofErr w:type="gramEnd"/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 xml:space="preserve"> own budgets </w:t>
            </w:r>
            <w:r w:rsidR="005A2FFB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/</w:t>
            </w: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 xml:space="preserve"> performance</w:t>
            </w:r>
          </w:p>
        </w:tc>
        <w:tc>
          <w:tcPr>
            <w:tcW w:w="3168" w:type="dxa"/>
            <w:tcMar>
              <w:top w:w="75" w:type="dxa"/>
              <w:left w:w="70" w:type="dxa"/>
              <w:bottom w:w="75" w:type="dxa"/>
              <w:right w:w="70" w:type="dxa"/>
            </w:tcMar>
          </w:tcPr>
          <w:p w14:paraId="45A55018" w14:textId="77777777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41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Market opportunity is promising but uncertain</w:t>
            </w:r>
          </w:p>
          <w:p w14:paraId="71FE7119" w14:textId="77777777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41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Customer data is limited</w:t>
            </w:r>
          </w:p>
          <w:p w14:paraId="4945B7C1" w14:textId="77777777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41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Technology readiness varies</w:t>
            </w:r>
          </w:p>
          <w:p w14:paraId="12A741B4" w14:textId="77777777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41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Regional capabilities differ</w:t>
            </w:r>
          </w:p>
          <w:p w14:paraId="35906105" w14:textId="77777777" w:rsidR="0071094F" w:rsidRPr="00304C4E" w:rsidRDefault="0071094F" w:rsidP="0071094F">
            <w:pPr>
              <w:pStyle w:val="ListBullet"/>
              <w:numPr>
                <w:ilvl w:val="0"/>
                <w:numId w:val="22"/>
              </w:numPr>
              <w:spacing w:after="0" w:line="240" w:lineRule="auto"/>
              <w:ind w:left="241" w:hanging="180"/>
              <w:rPr>
                <w:rFonts w:ascii="Plus Jakarta Sans" w:hAnsi="Plus Jakarta Sans"/>
                <w:color w:val="000000" w:themeColor="text1"/>
                <w:sz w:val="15"/>
                <w:szCs w:val="15"/>
              </w:rPr>
            </w:pPr>
            <w:r w:rsidRPr="00304C4E">
              <w:rPr>
                <w:rFonts w:ascii="Plus Jakarta Sans" w:hAnsi="Plus Jakarta Sans"/>
                <w:color w:val="000000" w:themeColor="text1"/>
                <w:sz w:val="15"/>
                <w:szCs w:val="15"/>
              </w:rPr>
              <w:t>The organization wants to launch, learn, and evolve</w:t>
            </w:r>
          </w:p>
        </w:tc>
      </w:tr>
    </w:tbl>
    <w:p w14:paraId="25828B8C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0444547F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24C6684F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0F112016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28115952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56F82AC0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7D0D6BA5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6D90B3CA" w14:textId="77777777" w:rsidR="00ED2DBB" w:rsidRDefault="00ED2DBB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7C9201B4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4057F308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45A036A3" w14:textId="77777777" w:rsidR="00123791" w:rsidRDefault="00123791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72601874" w14:textId="77777777" w:rsidR="00314896" w:rsidRDefault="00314896" w:rsidP="00C65835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041AF94A" w14:textId="718BE253" w:rsidR="00314896" w:rsidRPr="00B97F43" w:rsidRDefault="00314896" w:rsidP="00314896">
      <w:pPr>
        <w:pStyle w:val="Head1"/>
        <w:spacing w:before="0" w:after="0" w:line="240" w:lineRule="auto"/>
        <w:contextualSpacing/>
        <w:rPr>
          <w:rFonts w:ascii="Plus Jakarta Sans" w:hAnsi="Plus Jakarta Sans"/>
        </w:rPr>
      </w:pPr>
      <w:bookmarkStart w:id="6" w:name="_Toc236399585"/>
      <w:r>
        <w:rPr>
          <w:rFonts w:ascii="Plus Jakarta Sans" w:hAnsi="Plus Jakarta Sans"/>
        </w:rPr>
        <w:t xml:space="preserve">Part </w:t>
      </w:r>
      <w:r w:rsidR="00C13605">
        <w:rPr>
          <w:rFonts w:ascii="Plus Jakarta Sans" w:hAnsi="Plus Jakarta Sans"/>
        </w:rPr>
        <w:t>5</w:t>
      </w:r>
      <w:r>
        <w:rPr>
          <w:rFonts w:ascii="Plus Jakarta Sans" w:hAnsi="Plus Jakarta Sans"/>
        </w:rPr>
        <w:t>: Market recommendation summary</w:t>
      </w:r>
      <w:bookmarkEnd w:id="6"/>
    </w:p>
    <w:p w14:paraId="19DA2DE7" w14:textId="77777777" w:rsidR="00314896" w:rsidRPr="00314896" w:rsidRDefault="00314896" w:rsidP="00314896">
      <w:pPr>
        <w:spacing w:after="0" w:line="240" w:lineRule="auto"/>
        <w:contextualSpacing/>
        <w:rPr>
          <w:rFonts w:ascii="Plus Jakarta Sa" w:hAnsi="Plus Jakarta Sa"/>
          <w:color w:val="000000" w:themeColor="text1"/>
          <w:sz w:val="24"/>
          <w:szCs w:val="24"/>
        </w:rPr>
      </w:pPr>
    </w:p>
    <w:p w14:paraId="621FBC3A" w14:textId="6D3096E8" w:rsidR="00314896" w:rsidRPr="00CE4186" w:rsidRDefault="00632417" w:rsidP="00CE4186">
      <w:pPr>
        <w:spacing w:after="0" w:line="240" w:lineRule="auto"/>
        <w:rPr>
          <w:rFonts w:ascii="Plus Jakarta Sa" w:hAnsi="Plus Jakarta Sa"/>
          <w:color w:val="000000" w:themeColor="text1"/>
          <w:sz w:val="24"/>
          <w:szCs w:val="24"/>
        </w:rPr>
      </w:pPr>
      <w:r w:rsidRPr="00CE4186">
        <w:rPr>
          <w:rFonts w:ascii="Plus Jakarta Sa" w:hAnsi="Plus Jakarta Sa"/>
          <w:color w:val="000000" w:themeColor="text1"/>
          <w:sz w:val="24"/>
          <w:szCs w:val="24"/>
        </w:rPr>
        <w:t>Use this page to document the final recommendation and align global and regional stakeholders on the path forward.</w:t>
      </w:r>
    </w:p>
    <w:p w14:paraId="7684D795" w14:textId="77777777" w:rsidR="00314896" w:rsidRPr="00CE4186" w:rsidRDefault="00314896" w:rsidP="00CE4186">
      <w:pPr>
        <w:spacing w:after="0" w:line="240" w:lineRule="auto"/>
        <w:rPr>
          <w:rFonts w:ascii="Plus Jakarta Sa" w:hAnsi="Plus Jakarta Sa"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D6E1E8"/>
          <w:left w:val="single" w:sz="4" w:space="0" w:color="D6E1E8"/>
          <w:bottom w:val="single" w:sz="4" w:space="0" w:color="D6E1E8"/>
          <w:right w:val="single" w:sz="4" w:space="0" w:color="D6E1E8"/>
          <w:insideH w:val="single" w:sz="4" w:space="0" w:color="D6E1E8"/>
          <w:insideV w:val="single" w:sz="4" w:space="0" w:color="D6E1E8"/>
        </w:tblBorders>
        <w:tblLook w:val="04A0" w:firstRow="1" w:lastRow="0" w:firstColumn="1" w:lastColumn="0" w:noHBand="0" w:noVBand="1"/>
      </w:tblPr>
      <w:tblGrid>
        <w:gridCol w:w="3155"/>
        <w:gridCol w:w="6768"/>
      </w:tblGrid>
      <w:tr w:rsidR="00F112CC" w:rsidRPr="00CE4186" w14:paraId="2D542458" w14:textId="77777777" w:rsidTr="00F112CC">
        <w:trPr>
          <w:jc w:val="center"/>
        </w:trPr>
        <w:tc>
          <w:tcPr>
            <w:tcW w:w="3155" w:type="dxa"/>
            <w:shd w:val="clear" w:color="auto" w:fill="E1E3F0" w:themeFill="accent1" w:themeFillTint="1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219787" w14:textId="77777777" w:rsidR="00F112CC" w:rsidRPr="00CE4186" w:rsidRDefault="00F112CC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b/>
                <w:color w:val="000000" w:themeColor="text1"/>
                <w:sz w:val="18"/>
              </w:rPr>
              <w:t>Market / region</w:t>
            </w:r>
          </w:p>
        </w:tc>
        <w:tc>
          <w:tcPr>
            <w:tcW w:w="67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BEC9E5" w14:textId="1839EA10" w:rsidR="00F112CC" w:rsidRPr="00CE4186" w:rsidRDefault="00F112CC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i/>
                <w:color w:val="000000" w:themeColor="text1"/>
                <w:sz w:val="18"/>
              </w:rPr>
              <w:t>Click to enter text.</w:t>
            </w:r>
          </w:p>
        </w:tc>
      </w:tr>
      <w:tr w:rsidR="00F112CC" w:rsidRPr="00CE4186" w14:paraId="726F8C1F" w14:textId="77777777" w:rsidTr="00F112CC">
        <w:trPr>
          <w:jc w:val="center"/>
        </w:trPr>
        <w:tc>
          <w:tcPr>
            <w:tcW w:w="3155" w:type="dxa"/>
            <w:shd w:val="clear" w:color="auto" w:fill="E1E3F0" w:themeFill="accent1" w:themeFillTint="1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0308C2" w14:textId="77777777" w:rsidR="00F112CC" w:rsidRPr="00CE4186" w:rsidRDefault="00F112CC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b/>
                <w:color w:val="000000" w:themeColor="text1"/>
                <w:sz w:val="18"/>
              </w:rPr>
              <w:t>Market assessment score</w:t>
            </w:r>
          </w:p>
        </w:tc>
        <w:tc>
          <w:tcPr>
            <w:tcW w:w="67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73A436" w14:textId="77777777" w:rsidR="00F112CC" w:rsidRPr="00CE4186" w:rsidRDefault="00F112CC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color w:val="000000" w:themeColor="text1"/>
                <w:sz w:val="18"/>
              </w:rPr>
              <w:t xml:space="preserve">       / 5</w:t>
            </w:r>
          </w:p>
        </w:tc>
      </w:tr>
      <w:tr w:rsidR="00F112CC" w:rsidRPr="00CE4186" w14:paraId="539800CD" w14:textId="77777777" w:rsidTr="00F112CC">
        <w:trPr>
          <w:jc w:val="center"/>
        </w:trPr>
        <w:tc>
          <w:tcPr>
            <w:tcW w:w="3155" w:type="dxa"/>
            <w:shd w:val="clear" w:color="auto" w:fill="E1E3F0" w:themeFill="accent1" w:themeFillTint="1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5F7FAB" w14:textId="77777777" w:rsidR="00F112CC" w:rsidRPr="00CE4186" w:rsidRDefault="00F112CC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b/>
                <w:color w:val="000000" w:themeColor="text1"/>
                <w:sz w:val="18"/>
              </w:rPr>
              <w:t>Internal readiness score</w:t>
            </w:r>
          </w:p>
        </w:tc>
        <w:tc>
          <w:tcPr>
            <w:tcW w:w="67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B18715" w14:textId="77777777" w:rsidR="00F112CC" w:rsidRPr="00CE4186" w:rsidRDefault="00F112CC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color w:val="000000" w:themeColor="text1"/>
                <w:sz w:val="18"/>
              </w:rPr>
              <w:t xml:space="preserve">       / 5</w:t>
            </w:r>
          </w:p>
        </w:tc>
      </w:tr>
      <w:tr w:rsidR="00F112CC" w:rsidRPr="00CE4186" w14:paraId="57C6C5C9" w14:textId="77777777" w:rsidTr="00F112CC">
        <w:trPr>
          <w:jc w:val="center"/>
        </w:trPr>
        <w:tc>
          <w:tcPr>
            <w:tcW w:w="3155" w:type="dxa"/>
            <w:shd w:val="clear" w:color="auto" w:fill="E1E3F0" w:themeFill="accent1" w:themeFillTint="1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9639FF4" w14:textId="77777777" w:rsidR="00F112CC" w:rsidRPr="00CE4186" w:rsidRDefault="00F112CC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b/>
                <w:color w:val="000000" w:themeColor="text1"/>
                <w:sz w:val="18"/>
              </w:rPr>
              <w:t>Recommended operating model</w:t>
            </w:r>
          </w:p>
        </w:tc>
        <w:tc>
          <w:tcPr>
            <w:tcW w:w="67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FC0132" w14:textId="5FF94EA4" w:rsidR="00F112CC" w:rsidRPr="00CE4186" w:rsidRDefault="00F112CC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i/>
                <w:color w:val="000000" w:themeColor="text1"/>
                <w:sz w:val="18"/>
              </w:rPr>
              <w:t>Click to enter text.</w:t>
            </w:r>
          </w:p>
        </w:tc>
      </w:tr>
      <w:tr w:rsidR="00F112CC" w:rsidRPr="00CE4186" w14:paraId="3FB77071" w14:textId="77777777" w:rsidTr="00F112CC">
        <w:trPr>
          <w:jc w:val="center"/>
        </w:trPr>
        <w:tc>
          <w:tcPr>
            <w:tcW w:w="3155" w:type="dxa"/>
            <w:shd w:val="clear" w:color="auto" w:fill="E1E3F0" w:themeFill="accent1" w:themeFillTint="1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1C0CE0B" w14:textId="77777777" w:rsidR="00F112CC" w:rsidRPr="00CE4186" w:rsidRDefault="00F112CC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b/>
                <w:color w:val="000000" w:themeColor="text1"/>
                <w:sz w:val="18"/>
              </w:rPr>
              <w:t>Executive recommendation</w:t>
            </w:r>
          </w:p>
        </w:tc>
        <w:tc>
          <w:tcPr>
            <w:tcW w:w="67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AD4EDF" w14:textId="5B754726" w:rsidR="00F112CC" w:rsidRPr="00CE4186" w:rsidRDefault="00F112CC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i/>
                <w:color w:val="000000" w:themeColor="text1"/>
                <w:sz w:val="18"/>
              </w:rPr>
              <w:t>Click to enter text.</w:t>
            </w:r>
          </w:p>
        </w:tc>
      </w:tr>
    </w:tbl>
    <w:p w14:paraId="499E6975" w14:textId="77777777" w:rsidR="00314896" w:rsidRPr="00CE4186" w:rsidRDefault="00314896" w:rsidP="00CE4186">
      <w:pPr>
        <w:spacing w:after="0" w:line="240" w:lineRule="auto"/>
        <w:contextualSpacing/>
        <w:rPr>
          <w:rFonts w:ascii="Plus Jakarta Sa" w:hAnsi="Plus Jakarta Sa"/>
          <w:b/>
          <w:color w:val="000000" w:themeColor="text1"/>
          <w:sz w:val="24"/>
          <w:szCs w:val="24"/>
        </w:rPr>
      </w:pPr>
    </w:p>
    <w:p w14:paraId="2C278C79" w14:textId="77777777" w:rsidR="00CE4186" w:rsidRPr="00CE4186" w:rsidRDefault="00CE4186" w:rsidP="00CE4186">
      <w:pPr>
        <w:spacing w:after="0" w:line="240" w:lineRule="auto"/>
        <w:rPr>
          <w:rFonts w:ascii="Plus Jakarta Sa" w:hAnsi="Plus Jakarta Sa"/>
          <w:color w:val="000000" w:themeColor="text1"/>
        </w:rPr>
      </w:pPr>
      <w:r w:rsidRPr="00CE4186">
        <w:rPr>
          <w:rFonts w:ascii="Plus Jakarta Sa" w:hAnsi="Plus Jakarta Sa"/>
          <w:b/>
          <w:color w:val="000000" w:themeColor="text1"/>
          <w:sz w:val="20"/>
        </w:rPr>
        <w:t>Elements that should remain global</w:t>
      </w:r>
    </w:p>
    <w:tbl>
      <w:tblPr>
        <w:tblW w:w="0" w:type="auto"/>
        <w:jc w:val="center"/>
        <w:tblBorders>
          <w:top w:val="single" w:sz="4" w:space="0" w:color="D6E1E8"/>
          <w:left w:val="single" w:sz="4" w:space="0" w:color="D6E1E8"/>
          <w:bottom w:val="single" w:sz="4" w:space="0" w:color="D6E1E8"/>
          <w:right w:val="single" w:sz="4" w:space="0" w:color="D6E1E8"/>
          <w:insideH w:val="single" w:sz="4" w:space="0" w:color="D6E1E8"/>
          <w:insideV w:val="single" w:sz="4" w:space="0" w:color="D6E1E8"/>
        </w:tblBorders>
        <w:tblLook w:val="04A0" w:firstRow="1" w:lastRow="0" w:firstColumn="1" w:lastColumn="0" w:noHBand="0" w:noVBand="1"/>
      </w:tblPr>
      <w:tblGrid>
        <w:gridCol w:w="10070"/>
      </w:tblGrid>
      <w:tr w:rsidR="00CE4186" w:rsidRPr="00CE4186" w14:paraId="7AB2EBDA" w14:textId="77777777" w:rsidTr="00CE4186">
        <w:trPr>
          <w:trHeight w:val="623"/>
          <w:jc w:val="center"/>
        </w:trPr>
        <w:tc>
          <w:tcPr>
            <w:tcW w:w="1022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44CFB5" w14:textId="615DDCDF" w:rsidR="00CE4186" w:rsidRPr="00CE4186" w:rsidRDefault="00CE4186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i/>
                <w:color w:val="000000" w:themeColor="text1"/>
                <w:sz w:val="16"/>
              </w:rPr>
              <w:t>Click to enter text.</w:t>
            </w:r>
          </w:p>
          <w:p w14:paraId="5EE10CBF" w14:textId="77777777" w:rsidR="00CE4186" w:rsidRPr="00CE4186" w:rsidRDefault="00CE4186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</w:p>
        </w:tc>
      </w:tr>
    </w:tbl>
    <w:p w14:paraId="63A92094" w14:textId="77777777" w:rsidR="00CE4186" w:rsidRDefault="00CE4186" w:rsidP="00CE4186">
      <w:pPr>
        <w:spacing w:after="0" w:line="240" w:lineRule="auto"/>
        <w:rPr>
          <w:rFonts w:ascii="Plus Jakarta Sa" w:hAnsi="Plus Jakarta Sa"/>
          <w:b/>
          <w:color w:val="000000" w:themeColor="text1"/>
          <w:sz w:val="20"/>
        </w:rPr>
      </w:pPr>
    </w:p>
    <w:p w14:paraId="3D0EFCB0" w14:textId="3AA4E9C6" w:rsidR="00CE4186" w:rsidRPr="00CE4186" w:rsidRDefault="00CE4186" w:rsidP="00CE4186">
      <w:pPr>
        <w:spacing w:after="0" w:line="240" w:lineRule="auto"/>
        <w:rPr>
          <w:rFonts w:ascii="Plus Jakarta Sa" w:hAnsi="Plus Jakarta Sa"/>
          <w:color w:val="000000" w:themeColor="text1"/>
        </w:rPr>
      </w:pPr>
      <w:r w:rsidRPr="00CE4186">
        <w:rPr>
          <w:rFonts w:ascii="Plus Jakarta Sa" w:hAnsi="Plus Jakarta Sa"/>
          <w:b/>
          <w:color w:val="000000" w:themeColor="text1"/>
          <w:sz w:val="20"/>
        </w:rPr>
        <w:t>Elements that require local configuration</w:t>
      </w:r>
    </w:p>
    <w:tbl>
      <w:tblPr>
        <w:tblW w:w="0" w:type="auto"/>
        <w:jc w:val="center"/>
        <w:tblBorders>
          <w:top w:val="single" w:sz="4" w:space="0" w:color="D6E1E8"/>
          <w:left w:val="single" w:sz="4" w:space="0" w:color="D6E1E8"/>
          <w:bottom w:val="single" w:sz="4" w:space="0" w:color="D6E1E8"/>
          <w:right w:val="single" w:sz="4" w:space="0" w:color="D6E1E8"/>
          <w:insideH w:val="single" w:sz="4" w:space="0" w:color="D6E1E8"/>
          <w:insideV w:val="single" w:sz="4" w:space="0" w:color="D6E1E8"/>
        </w:tblBorders>
        <w:tblLook w:val="04A0" w:firstRow="1" w:lastRow="0" w:firstColumn="1" w:lastColumn="0" w:noHBand="0" w:noVBand="1"/>
      </w:tblPr>
      <w:tblGrid>
        <w:gridCol w:w="10070"/>
      </w:tblGrid>
      <w:tr w:rsidR="00CE4186" w:rsidRPr="00CE4186" w14:paraId="461CCA7D" w14:textId="77777777" w:rsidTr="00CE4186">
        <w:trPr>
          <w:trHeight w:val="605"/>
          <w:jc w:val="center"/>
        </w:trPr>
        <w:tc>
          <w:tcPr>
            <w:tcW w:w="1022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FA5028" w14:textId="77777777" w:rsidR="00196ABB" w:rsidRPr="00CE4186" w:rsidRDefault="00196ABB" w:rsidP="00196ABB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i/>
                <w:color w:val="000000" w:themeColor="text1"/>
                <w:sz w:val="16"/>
              </w:rPr>
              <w:t>Click to enter text.</w:t>
            </w:r>
          </w:p>
          <w:p w14:paraId="4D1552F8" w14:textId="77777777" w:rsidR="00CE4186" w:rsidRPr="00CE4186" w:rsidRDefault="00CE4186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</w:p>
        </w:tc>
      </w:tr>
    </w:tbl>
    <w:p w14:paraId="26CD516C" w14:textId="77777777" w:rsidR="00CE4186" w:rsidRDefault="00CE4186" w:rsidP="00CE4186">
      <w:pPr>
        <w:spacing w:after="0" w:line="240" w:lineRule="auto"/>
        <w:rPr>
          <w:rFonts w:ascii="Plus Jakarta Sa" w:hAnsi="Plus Jakarta Sa"/>
          <w:b/>
          <w:color w:val="000000" w:themeColor="text1"/>
          <w:sz w:val="20"/>
        </w:rPr>
      </w:pPr>
    </w:p>
    <w:p w14:paraId="5990F872" w14:textId="6A53AAD3" w:rsidR="00CE4186" w:rsidRPr="00CE4186" w:rsidRDefault="00CE4186" w:rsidP="00CE4186">
      <w:pPr>
        <w:spacing w:after="0" w:line="240" w:lineRule="auto"/>
        <w:rPr>
          <w:rFonts w:ascii="Plus Jakarta Sa" w:hAnsi="Plus Jakarta Sa"/>
          <w:color w:val="000000" w:themeColor="text1"/>
        </w:rPr>
      </w:pPr>
      <w:r w:rsidRPr="00CE4186">
        <w:rPr>
          <w:rFonts w:ascii="Plus Jakarta Sa" w:hAnsi="Plus Jakarta Sa"/>
          <w:b/>
          <w:color w:val="000000" w:themeColor="text1"/>
          <w:sz w:val="20"/>
        </w:rPr>
        <w:t>Critical constraints or exceptions</w:t>
      </w:r>
    </w:p>
    <w:tbl>
      <w:tblPr>
        <w:tblW w:w="0" w:type="auto"/>
        <w:jc w:val="center"/>
        <w:tblBorders>
          <w:top w:val="single" w:sz="4" w:space="0" w:color="D6E1E8"/>
          <w:left w:val="single" w:sz="4" w:space="0" w:color="D6E1E8"/>
          <w:bottom w:val="single" w:sz="4" w:space="0" w:color="D6E1E8"/>
          <w:right w:val="single" w:sz="4" w:space="0" w:color="D6E1E8"/>
          <w:insideH w:val="single" w:sz="4" w:space="0" w:color="D6E1E8"/>
          <w:insideV w:val="single" w:sz="4" w:space="0" w:color="D6E1E8"/>
        </w:tblBorders>
        <w:tblLook w:val="04A0" w:firstRow="1" w:lastRow="0" w:firstColumn="1" w:lastColumn="0" w:noHBand="0" w:noVBand="1"/>
      </w:tblPr>
      <w:tblGrid>
        <w:gridCol w:w="10070"/>
      </w:tblGrid>
      <w:tr w:rsidR="00CE4186" w:rsidRPr="00CE4186" w14:paraId="55B11318" w14:textId="77777777" w:rsidTr="00CE4186">
        <w:trPr>
          <w:trHeight w:val="623"/>
          <w:jc w:val="center"/>
        </w:trPr>
        <w:tc>
          <w:tcPr>
            <w:tcW w:w="1022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089D4C" w14:textId="77777777" w:rsidR="00196ABB" w:rsidRPr="00CE4186" w:rsidRDefault="00196ABB" w:rsidP="00196ABB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i/>
                <w:color w:val="000000" w:themeColor="text1"/>
                <w:sz w:val="16"/>
              </w:rPr>
              <w:t>Click to enter text.</w:t>
            </w:r>
          </w:p>
          <w:p w14:paraId="4C578C60" w14:textId="77777777" w:rsidR="00CE4186" w:rsidRPr="00CE4186" w:rsidRDefault="00CE4186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</w:p>
        </w:tc>
      </w:tr>
    </w:tbl>
    <w:p w14:paraId="3B531259" w14:textId="77777777" w:rsidR="00CE4186" w:rsidRDefault="00CE4186" w:rsidP="00CE4186">
      <w:pPr>
        <w:spacing w:after="0" w:line="240" w:lineRule="auto"/>
        <w:rPr>
          <w:rFonts w:ascii="Plus Jakarta Sa" w:hAnsi="Plus Jakarta Sa"/>
          <w:b/>
          <w:color w:val="000000" w:themeColor="text1"/>
          <w:sz w:val="20"/>
        </w:rPr>
      </w:pPr>
    </w:p>
    <w:p w14:paraId="05365FDB" w14:textId="56C68E66" w:rsidR="00CE4186" w:rsidRPr="00CE4186" w:rsidRDefault="00B35B6E" w:rsidP="00CE4186">
      <w:pPr>
        <w:spacing w:after="0" w:line="240" w:lineRule="auto"/>
        <w:rPr>
          <w:rFonts w:ascii="Plus Jakarta Sa" w:hAnsi="Plus Jakarta Sa"/>
          <w:color w:val="000000" w:themeColor="text1"/>
        </w:rPr>
      </w:pPr>
      <w:r w:rsidRPr="00CE4186">
        <w:rPr>
          <w:rFonts w:ascii="Plus Jakarta Sa" w:hAnsi="Plus Jakarta Sa"/>
          <w:b/>
          <w:color w:val="000000" w:themeColor="text1"/>
          <w:sz w:val="20"/>
        </w:rPr>
        <w:t xml:space="preserve">Global </w:t>
      </w:r>
      <w:r>
        <w:rPr>
          <w:rFonts w:ascii="Plus Jakarta Sa" w:hAnsi="Plus Jakarta Sa"/>
          <w:b/>
          <w:color w:val="000000" w:themeColor="text1"/>
          <w:sz w:val="20"/>
        </w:rPr>
        <w:t>d</w:t>
      </w:r>
      <w:r w:rsidRPr="00CE4186">
        <w:rPr>
          <w:rFonts w:ascii="Plus Jakarta Sa" w:hAnsi="Plus Jakarta Sa"/>
          <w:b/>
          <w:color w:val="000000" w:themeColor="text1"/>
          <w:sz w:val="20"/>
        </w:rPr>
        <w:t xml:space="preserve">ecisions </w:t>
      </w:r>
      <w:r>
        <w:rPr>
          <w:rFonts w:ascii="Plus Jakarta Sa" w:hAnsi="Plus Jakarta Sa"/>
          <w:b/>
          <w:color w:val="000000" w:themeColor="text1"/>
          <w:sz w:val="20"/>
        </w:rPr>
        <w:t>r</w:t>
      </w:r>
      <w:r w:rsidRPr="00CE4186">
        <w:rPr>
          <w:rFonts w:ascii="Plus Jakarta Sa" w:hAnsi="Plus Jakarta Sa"/>
          <w:b/>
          <w:color w:val="000000" w:themeColor="text1"/>
          <w:sz w:val="20"/>
        </w:rPr>
        <w:t>equired</w:t>
      </w:r>
    </w:p>
    <w:tbl>
      <w:tblPr>
        <w:tblW w:w="0" w:type="auto"/>
        <w:jc w:val="center"/>
        <w:tblBorders>
          <w:top w:val="single" w:sz="4" w:space="0" w:color="D6E1E8"/>
          <w:left w:val="single" w:sz="4" w:space="0" w:color="D6E1E8"/>
          <w:bottom w:val="single" w:sz="4" w:space="0" w:color="D6E1E8"/>
          <w:right w:val="single" w:sz="4" w:space="0" w:color="D6E1E8"/>
          <w:insideH w:val="single" w:sz="4" w:space="0" w:color="D6E1E8"/>
          <w:insideV w:val="single" w:sz="4" w:space="0" w:color="D6E1E8"/>
        </w:tblBorders>
        <w:tblLook w:val="04A0" w:firstRow="1" w:lastRow="0" w:firstColumn="1" w:lastColumn="0" w:noHBand="0" w:noVBand="1"/>
      </w:tblPr>
      <w:tblGrid>
        <w:gridCol w:w="10070"/>
      </w:tblGrid>
      <w:tr w:rsidR="00CE4186" w:rsidRPr="00CE4186" w14:paraId="001C046E" w14:textId="77777777" w:rsidTr="00CE4186">
        <w:trPr>
          <w:trHeight w:val="605"/>
          <w:jc w:val="center"/>
        </w:trPr>
        <w:tc>
          <w:tcPr>
            <w:tcW w:w="1022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0809C3" w14:textId="77777777" w:rsidR="00CE4186" w:rsidRPr="00CE4186" w:rsidRDefault="00CE4186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i/>
                <w:color w:val="000000" w:themeColor="text1"/>
                <w:sz w:val="16"/>
              </w:rPr>
              <w:lastRenderedPageBreak/>
              <w:t>Click or tap here to enter text.</w:t>
            </w:r>
          </w:p>
          <w:p w14:paraId="596B2FF7" w14:textId="77777777" w:rsidR="00CE4186" w:rsidRPr="00CE4186" w:rsidRDefault="00CE4186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</w:p>
        </w:tc>
      </w:tr>
    </w:tbl>
    <w:p w14:paraId="2B6B307B" w14:textId="77777777" w:rsidR="00CE4186" w:rsidRDefault="00CE4186" w:rsidP="00CE4186">
      <w:pPr>
        <w:spacing w:after="0" w:line="240" w:lineRule="auto"/>
        <w:rPr>
          <w:rFonts w:ascii="Plus Jakarta Sa" w:hAnsi="Plus Jakarta Sa"/>
          <w:b/>
          <w:color w:val="000000" w:themeColor="text1"/>
          <w:sz w:val="20"/>
        </w:rPr>
      </w:pPr>
    </w:p>
    <w:p w14:paraId="4DE2A070" w14:textId="78546974" w:rsidR="00CE4186" w:rsidRPr="00CE4186" w:rsidRDefault="00B35B6E" w:rsidP="00CE4186">
      <w:pPr>
        <w:spacing w:after="0" w:line="240" w:lineRule="auto"/>
        <w:rPr>
          <w:rFonts w:ascii="Plus Jakarta Sa" w:hAnsi="Plus Jakarta Sa"/>
          <w:color w:val="000000" w:themeColor="text1"/>
        </w:rPr>
      </w:pPr>
      <w:r>
        <w:rPr>
          <w:rFonts w:ascii="Plus Jakarta Sa" w:hAnsi="Plus Jakarta Sa"/>
          <w:b/>
          <w:color w:val="000000" w:themeColor="text1"/>
          <w:sz w:val="20"/>
        </w:rPr>
        <w:t>Local decisions required</w:t>
      </w:r>
    </w:p>
    <w:tbl>
      <w:tblPr>
        <w:tblW w:w="0" w:type="auto"/>
        <w:jc w:val="center"/>
        <w:tblBorders>
          <w:top w:val="single" w:sz="4" w:space="0" w:color="D6E1E8"/>
          <w:left w:val="single" w:sz="4" w:space="0" w:color="D6E1E8"/>
          <w:bottom w:val="single" w:sz="4" w:space="0" w:color="D6E1E8"/>
          <w:right w:val="single" w:sz="4" w:space="0" w:color="D6E1E8"/>
          <w:insideH w:val="single" w:sz="4" w:space="0" w:color="D6E1E8"/>
          <w:insideV w:val="single" w:sz="4" w:space="0" w:color="D6E1E8"/>
        </w:tblBorders>
        <w:tblLook w:val="04A0" w:firstRow="1" w:lastRow="0" w:firstColumn="1" w:lastColumn="0" w:noHBand="0" w:noVBand="1"/>
      </w:tblPr>
      <w:tblGrid>
        <w:gridCol w:w="10070"/>
      </w:tblGrid>
      <w:tr w:rsidR="00CE4186" w:rsidRPr="00CE4186" w14:paraId="5ED54BD8" w14:textId="77777777" w:rsidTr="00CE4186">
        <w:trPr>
          <w:trHeight w:val="623"/>
          <w:jc w:val="center"/>
        </w:trPr>
        <w:tc>
          <w:tcPr>
            <w:tcW w:w="1022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C6F30A" w14:textId="77777777" w:rsidR="00196ABB" w:rsidRPr="00CE4186" w:rsidRDefault="00196ABB" w:rsidP="00196ABB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  <w:r w:rsidRPr="00CE4186">
              <w:rPr>
                <w:rFonts w:ascii="Plus Jakarta Sa" w:hAnsi="Plus Jakarta Sa"/>
                <w:i/>
                <w:color w:val="000000" w:themeColor="text1"/>
                <w:sz w:val="16"/>
              </w:rPr>
              <w:t>Click to enter text.</w:t>
            </w:r>
          </w:p>
          <w:p w14:paraId="35001292" w14:textId="77777777" w:rsidR="00CE4186" w:rsidRPr="00CE4186" w:rsidRDefault="00CE4186" w:rsidP="00CE4186">
            <w:pPr>
              <w:spacing w:after="0" w:line="240" w:lineRule="auto"/>
              <w:rPr>
                <w:rFonts w:ascii="Plus Jakarta Sa" w:hAnsi="Plus Jakarta Sa"/>
                <w:color w:val="000000" w:themeColor="text1"/>
              </w:rPr>
            </w:pPr>
          </w:p>
        </w:tc>
      </w:tr>
    </w:tbl>
    <w:p w14:paraId="37CB9162" w14:textId="77777777" w:rsidR="00CE4186" w:rsidRDefault="00CE4186" w:rsidP="00CE4186">
      <w:pPr>
        <w:spacing w:after="0" w:line="240" w:lineRule="auto"/>
      </w:pPr>
      <w:r>
        <w:br w:type="page"/>
      </w:r>
    </w:p>
    <w:p w14:paraId="389BDC01" w14:textId="5300A2F0" w:rsidR="00CE4186" w:rsidRPr="00B97F43" w:rsidRDefault="00CE4186" w:rsidP="00CE4186">
      <w:pPr>
        <w:pStyle w:val="Head1"/>
        <w:spacing w:before="0" w:after="0" w:line="240" w:lineRule="auto"/>
        <w:contextualSpacing/>
        <w:rPr>
          <w:rFonts w:ascii="Plus Jakarta Sans" w:hAnsi="Plus Jakarta Sans"/>
        </w:rPr>
      </w:pPr>
      <w:bookmarkStart w:id="7" w:name="_Toc236399586"/>
      <w:r>
        <w:rPr>
          <w:rFonts w:ascii="Plus Jakarta Sans" w:hAnsi="Plus Jakarta Sans"/>
        </w:rPr>
        <w:lastRenderedPageBreak/>
        <w:t>From decision to design</w:t>
      </w:r>
      <w:bookmarkEnd w:id="7"/>
    </w:p>
    <w:p w14:paraId="4E53F531" w14:textId="77777777" w:rsidR="00CE4186" w:rsidRPr="00B06BA5" w:rsidRDefault="00CE4186" w:rsidP="00965EF3">
      <w:pPr>
        <w:spacing w:after="0" w:line="240" w:lineRule="auto"/>
        <w:contextualSpacing/>
        <w:rPr>
          <w:rFonts w:ascii="Plus Jakarta Sa" w:hAnsi="Plus Jakarta Sa"/>
          <w:color w:val="000000" w:themeColor="text1"/>
          <w:sz w:val="24"/>
          <w:szCs w:val="24"/>
        </w:rPr>
      </w:pPr>
    </w:p>
    <w:p w14:paraId="251B56EA" w14:textId="480B6781" w:rsidR="00DC2272" w:rsidRPr="00B06BA5" w:rsidRDefault="00DC2272" w:rsidP="00965EF3">
      <w:pPr>
        <w:spacing w:after="0" w:line="240" w:lineRule="auto"/>
        <w:contextualSpacing/>
        <w:rPr>
          <w:rFonts w:ascii="Plus Jakarta Sa" w:hAnsi="Plus Jakarta Sa"/>
          <w:color w:val="000000" w:themeColor="text1"/>
          <w:sz w:val="24"/>
          <w:szCs w:val="24"/>
        </w:rPr>
      </w:pPr>
      <w:r w:rsidRPr="00B06BA5">
        <w:rPr>
          <w:rFonts w:ascii="Plus Jakarta Sa" w:hAnsi="Plus Jakarta Sa"/>
          <w:color w:val="000000" w:themeColor="text1"/>
          <w:sz w:val="24"/>
          <w:szCs w:val="24"/>
        </w:rPr>
        <w:t>The right global loyalty model should create consistency where consistency adds value</w:t>
      </w:r>
      <w:r w:rsidR="00B06BA5" w:rsidRPr="00B06BA5">
        <w:rPr>
          <w:rFonts w:ascii="Plus Jakarta Sa" w:hAnsi="Plus Jakarta Sa"/>
          <w:color w:val="000000" w:themeColor="text1"/>
          <w:sz w:val="24"/>
          <w:szCs w:val="24"/>
        </w:rPr>
        <w:t xml:space="preserve"> - </w:t>
      </w:r>
      <w:r w:rsidRPr="00B06BA5">
        <w:rPr>
          <w:rFonts w:ascii="Plus Jakarta Sa" w:hAnsi="Plus Jakarta Sa"/>
          <w:color w:val="000000" w:themeColor="text1"/>
          <w:sz w:val="24"/>
          <w:szCs w:val="24"/>
        </w:rPr>
        <w:t>and flexibility where local relevance matters more.</w:t>
      </w:r>
    </w:p>
    <w:p w14:paraId="6D7D373C" w14:textId="03EDD80A" w:rsidR="00DC2272" w:rsidRPr="00B06BA5" w:rsidRDefault="00DC2272" w:rsidP="00965EF3">
      <w:pPr>
        <w:spacing w:after="0" w:line="240" w:lineRule="auto"/>
        <w:contextualSpacing/>
        <w:rPr>
          <w:rFonts w:ascii="Plus Jakarta Sa" w:hAnsi="Plus Jakarta Sa"/>
          <w:color w:val="000000" w:themeColor="text1"/>
          <w:sz w:val="24"/>
          <w:szCs w:val="24"/>
        </w:rPr>
      </w:pPr>
    </w:p>
    <w:p w14:paraId="24E20AF4" w14:textId="6A4B25AC" w:rsidR="00DC2272" w:rsidRPr="00B06BA5" w:rsidRDefault="00DC2272" w:rsidP="00965EF3">
      <w:pPr>
        <w:spacing w:after="0" w:line="240" w:lineRule="auto"/>
        <w:contextualSpacing/>
        <w:rPr>
          <w:rFonts w:ascii="Plus Jakarta Sa" w:hAnsi="Plus Jakarta Sa"/>
          <w:color w:val="000000" w:themeColor="text1"/>
          <w:sz w:val="24"/>
          <w:szCs w:val="24"/>
        </w:rPr>
      </w:pPr>
      <w:r w:rsidRPr="00B06BA5">
        <w:rPr>
          <w:rFonts w:ascii="Plus Jakarta Sa" w:hAnsi="Plus Jakarta Sa"/>
          <w:b/>
          <w:color w:val="000000" w:themeColor="text1"/>
          <w:sz w:val="24"/>
          <w:szCs w:val="24"/>
        </w:rPr>
        <w:t>A strong global loyalty ecosystem typically provides:</w:t>
      </w:r>
    </w:p>
    <w:p w14:paraId="0ECAF21C" w14:textId="311F57DA" w:rsidR="00DC2272" w:rsidRPr="00B06BA5" w:rsidRDefault="00DC2272" w:rsidP="00965EF3">
      <w:pPr>
        <w:pStyle w:val="ListBullet"/>
        <w:numPr>
          <w:ilvl w:val="0"/>
          <w:numId w:val="23"/>
        </w:numPr>
        <w:spacing w:after="0" w:line="240" w:lineRule="auto"/>
        <w:rPr>
          <w:rFonts w:ascii="Plus Jakarta Sa" w:hAnsi="Plus Jakarta Sa" w:hint="eastAsia"/>
          <w:color w:val="000000" w:themeColor="text1"/>
          <w:sz w:val="24"/>
          <w:szCs w:val="24"/>
        </w:rPr>
      </w:pPr>
      <w:r w:rsidRPr="00B06BA5">
        <w:rPr>
          <w:rFonts w:ascii="Plus Jakarta Sa" w:hAnsi="Plus Jakarta Sa"/>
          <w:color w:val="000000" w:themeColor="text1"/>
          <w:sz w:val="24"/>
          <w:szCs w:val="24"/>
        </w:rPr>
        <w:t>One strategic direction</w:t>
      </w:r>
    </w:p>
    <w:p w14:paraId="1AB6C9E1" w14:textId="7541B446" w:rsidR="00DC2272" w:rsidRPr="00B06BA5" w:rsidRDefault="00DC2272" w:rsidP="00965EF3">
      <w:pPr>
        <w:pStyle w:val="ListBullet"/>
        <w:numPr>
          <w:ilvl w:val="0"/>
          <w:numId w:val="23"/>
        </w:numPr>
        <w:spacing w:after="0" w:line="240" w:lineRule="auto"/>
        <w:rPr>
          <w:rFonts w:ascii="Plus Jakarta Sa" w:hAnsi="Plus Jakarta Sa" w:hint="eastAsia"/>
          <w:color w:val="000000" w:themeColor="text1"/>
          <w:sz w:val="24"/>
          <w:szCs w:val="24"/>
        </w:rPr>
      </w:pPr>
      <w:r w:rsidRPr="00B06BA5">
        <w:rPr>
          <w:rFonts w:ascii="Plus Jakarta Sa" w:hAnsi="Plus Jakarta Sa"/>
          <w:color w:val="000000" w:themeColor="text1"/>
          <w:sz w:val="24"/>
          <w:szCs w:val="24"/>
        </w:rPr>
        <w:t>One connected technology and data foundation</w:t>
      </w:r>
    </w:p>
    <w:p w14:paraId="716B8EEF" w14:textId="3E716639" w:rsidR="00DC2272" w:rsidRPr="00B06BA5" w:rsidRDefault="00DC2272" w:rsidP="00965EF3">
      <w:pPr>
        <w:pStyle w:val="ListBullet"/>
        <w:numPr>
          <w:ilvl w:val="0"/>
          <w:numId w:val="23"/>
        </w:numPr>
        <w:spacing w:after="0" w:line="240" w:lineRule="auto"/>
        <w:rPr>
          <w:rFonts w:ascii="Plus Jakarta Sa" w:hAnsi="Plus Jakarta Sa" w:hint="eastAsia"/>
          <w:color w:val="000000" w:themeColor="text1"/>
          <w:sz w:val="24"/>
          <w:szCs w:val="24"/>
        </w:rPr>
      </w:pPr>
      <w:r w:rsidRPr="00B06BA5">
        <w:rPr>
          <w:rFonts w:ascii="Plus Jakarta Sa" w:hAnsi="Plus Jakarta Sa"/>
          <w:color w:val="000000" w:themeColor="text1"/>
          <w:sz w:val="24"/>
          <w:szCs w:val="24"/>
        </w:rPr>
        <w:t>One set of program principles</w:t>
      </w:r>
    </w:p>
    <w:p w14:paraId="46574AA1" w14:textId="77777777" w:rsidR="00DC2272" w:rsidRPr="00B06BA5" w:rsidRDefault="00DC2272" w:rsidP="00965EF3">
      <w:pPr>
        <w:pStyle w:val="ListBullet"/>
        <w:numPr>
          <w:ilvl w:val="0"/>
          <w:numId w:val="23"/>
        </w:numPr>
        <w:spacing w:after="0" w:line="240" w:lineRule="auto"/>
        <w:rPr>
          <w:rFonts w:ascii="Plus Jakarta Sa" w:hAnsi="Plus Jakarta Sa" w:hint="eastAsia"/>
          <w:color w:val="000000" w:themeColor="text1"/>
          <w:sz w:val="24"/>
          <w:szCs w:val="24"/>
        </w:rPr>
      </w:pPr>
      <w:r w:rsidRPr="00B06BA5">
        <w:rPr>
          <w:rFonts w:ascii="Plus Jakarta Sa" w:hAnsi="Plus Jakarta Sa"/>
          <w:color w:val="000000" w:themeColor="text1"/>
          <w:sz w:val="24"/>
          <w:szCs w:val="24"/>
        </w:rPr>
        <w:t>One measurement language</w:t>
      </w:r>
    </w:p>
    <w:p w14:paraId="1DD6DA3B" w14:textId="77777777" w:rsidR="00DC2272" w:rsidRPr="00B06BA5" w:rsidRDefault="00DC2272" w:rsidP="00965EF3">
      <w:pPr>
        <w:pStyle w:val="ListBullet"/>
        <w:numPr>
          <w:ilvl w:val="0"/>
          <w:numId w:val="23"/>
        </w:numPr>
        <w:spacing w:after="0" w:line="240" w:lineRule="auto"/>
        <w:rPr>
          <w:rFonts w:ascii="Plus Jakarta Sa" w:hAnsi="Plus Jakarta Sa" w:hint="eastAsia"/>
          <w:color w:val="000000" w:themeColor="text1"/>
          <w:sz w:val="24"/>
          <w:szCs w:val="24"/>
        </w:rPr>
      </w:pPr>
      <w:r w:rsidRPr="00B06BA5">
        <w:rPr>
          <w:rFonts w:ascii="Plus Jakarta Sa" w:hAnsi="Plus Jakarta Sa"/>
          <w:color w:val="000000" w:themeColor="text1"/>
          <w:sz w:val="24"/>
          <w:szCs w:val="24"/>
        </w:rPr>
        <w:t>One governance model</w:t>
      </w:r>
    </w:p>
    <w:p w14:paraId="1421CEC7" w14:textId="78D4C8D0" w:rsidR="00B06BA5" w:rsidRPr="00B06BA5" w:rsidRDefault="00B06BA5" w:rsidP="00965EF3">
      <w:pPr>
        <w:spacing w:after="0" w:line="240" w:lineRule="auto"/>
        <w:contextualSpacing/>
        <w:rPr>
          <w:rFonts w:ascii="Plus Jakarta Sa" w:hAnsi="Plus Jakarta Sa"/>
          <w:b/>
          <w:color w:val="000000" w:themeColor="text1"/>
          <w:sz w:val="24"/>
          <w:szCs w:val="24"/>
        </w:rPr>
      </w:pPr>
    </w:p>
    <w:p w14:paraId="567ED7CF" w14:textId="3A808342" w:rsidR="00DC2272" w:rsidRPr="00B06BA5" w:rsidRDefault="00DC2272" w:rsidP="00965EF3">
      <w:pPr>
        <w:spacing w:after="0" w:line="240" w:lineRule="auto"/>
        <w:contextualSpacing/>
        <w:rPr>
          <w:rFonts w:ascii="Plus Jakarta Sa" w:hAnsi="Plus Jakarta Sa"/>
          <w:color w:val="000000" w:themeColor="text1"/>
          <w:sz w:val="24"/>
          <w:szCs w:val="24"/>
        </w:rPr>
      </w:pPr>
      <w:r w:rsidRPr="00B06BA5">
        <w:rPr>
          <w:rFonts w:ascii="Plus Jakarta Sa" w:hAnsi="Plus Jakarta Sa"/>
          <w:b/>
          <w:color w:val="000000" w:themeColor="text1"/>
          <w:sz w:val="24"/>
          <w:szCs w:val="24"/>
        </w:rPr>
        <w:t>It also creates room for:</w:t>
      </w:r>
    </w:p>
    <w:p w14:paraId="5B29F9E3" w14:textId="59D7A202" w:rsidR="00DC2272" w:rsidRPr="00B06BA5" w:rsidRDefault="00DC2272" w:rsidP="00965EF3">
      <w:pPr>
        <w:pStyle w:val="ListBullet"/>
        <w:numPr>
          <w:ilvl w:val="0"/>
          <w:numId w:val="23"/>
        </w:numPr>
        <w:spacing w:after="0" w:line="240" w:lineRule="auto"/>
        <w:rPr>
          <w:rFonts w:ascii="Plus Jakarta Sa" w:hAnsi="Plus Jakarta Sa" w:hint="eastAsia"/>
          <w:color w:val="000000" w:themeColor="text1"/>
          <w:sz w:val="24"/>
          <w:szCs w:val="24"/>
        </w:rPr>
      </w:pPr>
      <w:r w:rsidRPr="00B06BA5">
        <w:rPr>
          <w:rFonts w:ascii="Plus Jakarta Sa" w:hAnsi="Plus Jakarta Sa"/>
          <w:color w:val="000000" w:themeColor="text1"/>
          <w:sz w:val="24"/>
          <w:szCs w:val="24"/>
        </w:rPr>
        <w:t>Local customer expectations</w:t>
      </w:r>
    </w:p>
    <w:p w14:paraId="7464638F" w14:textId="77777777" w:rsidR="00DC2272" w:rsidRPr="00B06BA5" w:rsidRDefault="00DC2272" w:rsidP="00965EF3">
      <w:pPr>
        <w:pStyle w:val="ListBullet"/>
        <w:numPr>
          <w:ilvl w:val="0"/>
          <w:numId w:val="23"/>
        </w:numPr>
        <w:spacing w:after="0" w:line="240" w:lineRule="auto"/>
        <w:rPr>
          <w:rFonts w:ascii="Plus Jakarta Sa" w:hAnsi="Plus Jakarta Sa" w:hint="eastAsia"/>
          <w:color w:val="000000" w:themeColor="text1"/>
          <w:sz w:val="24"/>
          <w:szCs w:val="24"/>
        </w:rPr>
      </w:pPr>
      <w:r w:rsidRPr="00B06BA5">
        <w:rPr>
          <w:rFonts w:ascii="Plus Jakarta Sa" w:hAnsi="Plus Jakarta Sa"/>
          <w:color w:val="000000" w:themeColor="text1"/>
          <w:sz w:val="24"/>
          <w:szCs w:val="24"/>
        </w:rPr>
        <w:t>Local economics and regulations</w:t>
      </w:r>
    </w:p>
    <w:p w14:paraId="4A4C6CF2" w14:textId="77777777" w:rsidR="00DC2272" w:rsidRPr="00B06BA5" w:rsidRDefault="00DC2272" w:rsidP="00965EF3">
      <w:pPr>
        <w:pStyle w:val="ListBullet"/>
        <w:numPr>
          <w:ilvl w:val="0"/>
          <w:numId w:val="23"/>
        </w:numPr>
        <w:spacing w:after="0" w:line="240" w:lineRule="auto"/>
        <w:rPr>
          <w:rFonts w:ascii="Plus Jakarta Sa" w:hAnsi="Plus Jakarta Sa" w:hint="eastAsia"/>
          <w:color w:val="000000" w:themeColor="text1"/>
          <w:sz w:val="24"/>
          <w:szCs w:val="24"/>
        </w:rPr>
      </w:pPr>
      <w:r w:rsidRPr="00B06BA5">
        <w:rPr>
          <w:rFonts w:ascii="Plus Jakarta Sa" w:hAnsi="Plus Jakarta Sa"/>
          <w:color w:val="000000" w:themeColor="text1"/>
          <w:sz w:val="24"/>
          <w:szCs w:val="24"/>
        </w:rPr>
        <w:t>Local channels and partnerships</w:t>
      </w:r>
    </w:p>
    <w:p w14:paraId="70FC4D76" w14:textId="513BAD32" w:rsidR="00DC2272" w:rsidRPr="00B06BA5" w:rsidRDefault="00DC2272" w:rsidP="00965EF3">
      <w:pPr>
        <w:pStyle w:val="ListBullet"/>
        <w:numPr>
          <w:ilvl w:val="0"/>
          <w:numId w:val="23"/>
        </w:numPr>
        <w:spacing w:after="0" w:line="240" w:lineRule="auto"/>
        <w:rPr>
          <w:rFonts w:ascii="Plus Jakarta Sa" w:hAnsi="Plus Jakarta Sa" w:hint="eastAsia"/>
          <w:color w:val="000000" w:themeColor="text1"/>
          <w:sz w:val="24"/>
          <w:szCs w:val="24"/>
        </w:rPr>
      </w:pPr>
      <w:r w:rsidRPr="00B06BA5">
        <w:rPr>
          <w:rFonts w:ascii="Plus Jakarta Sa" w:hAnsi="Plus Jakarta Sa"/>
          <w:color w:val="000000" w:themeColor="text1"/>
          <w:sz w:val="24"/>
          <w:szCs w:val="24"/>
        </w:rPr>
        <w:t>Local campaigns and promotional calendars</w:t>
      </w:r>
    </w:p>
    <w:p w14:paraId="1A34A7FF" w14:textId="37F7812D" w:rsidR="00DC2272" w:rsidRPr="00B06BA5" w:rsidRDefault="00DC2272" w:rsidP="00965EF3">
      <w:pPr>
        <w:pStyle w:val="ListBullet"/>
        <w:numPr>
          <w:ilvl w:val="0"/>
          <w:numId w:val="23"/>
        </w:numPr>
        <w:spacing w:after="0" w:line="240" w:lineRule="auto"/>
        <w:rPr>
          <w:rFonts w:ascii="Plus Jakarta Sa" w:hAnsi="Plus Jakarta Sa" w:hint="eastAsia"/>
          <w:color w:val="000000" w:themeColor="text1"/>
          <w:sz w:val="24"/>
          <w:szCs w:val="24"/>
        </w:rPr>
      </w:pPr>
      <w:r w:rsidRPr="00B06BA5">
        <w:rPr>
          <w:rFonts w:ascii="Plus Jakarta Sa" w:hAnsi="Plus Jakarta Sa"/>
          <w:color w:val="000000" w:themeColor="text1"/>
          <w:sz w:val="24"/>
          <w:szCs w:val="24"/>
        </w:rPr>
        <w:t>Local optimization and learning</w:t>
      </w:r>
    </w:p>
    <w:p w14:paraId="07815DA7" w14:textId="6E886DF8" w:rsidR="00DC2272" w:rsidRPr="00DC2272" w:rsidRDefault="00965EF3" w:rsidP="00965EF3">
      <w:pPr>
        <w:pStyle w:val="ListBullet"/>
        <w:numPr>
          <w:ilvl w:val="0"/>
          <w:numId w:val="0"/>
        </w:numPr>
        <w:spacing w:after="0" w:line="240" w:lineRule="auto"/>
        <w:rPr>
          <w:rFonts w:ascii="Plus Jakarta Sa" w:hAnsi="Plus Jakarta Sa" w:hint="eastAsia"/>
          <w:color w:val="000000" w:themeColor="text1"/>
        </w:rPr>
      </w:pPr>
      <w:r w:rsidRPr="00881D7D">
        <w:rPr>
          <w:rFonts w:ascii="Plus Jakarta Sans" w:hAnsi="Plus Jakarta Sans" w:cstheme="minorHAnsi"/>
          <w:noProof/>
          <w:color w:val="1C1F38" w:themeColor="accent1"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2448666C" wp14:editId="57AF4346">
                <wp:simplePos x="0" y="0"/>
                <wp:positionH relativeFrom="page">
                  <wp:posOffset>13335</wp:posOffset>
                </wp:positionH>
                <wp:positionV relativeFrom="paragraph">
                  <wp:posOffset>245432</wp:posOffset>
                </wp:positionV>
                <wp:extent cx="7761605" cy="1364615"/>
                <wp:effectExtent l="0" t="0" r="0" b="6985"/>
                <wp:wrapNone/>
                <wp:docPr id="778070787" name="Rectangle 7780707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1605" cy="136461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AFAFB44" id="Rectangle 778070787" o:spid="_x0000_s1026" style="position:absolute;margin-left:1.05pt;margin-top:19.35pt;width:611.15pt;height:107.45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IL6cwIAAGMFAAAOAAAAZHJzL2Uyb0RvYy54bWysVNtqGzEQfS/0H4Tem911bac1WQfj4FII&#10;iWlS8qxopaxAq1El2Wv36zvSXpwmoYVSP8gjzZnb2Zm5uDw0muyF8wpMSYuznBJhOFTKPJX0+/3m&#10;wydKfGCmYhqMKOlReHq5fP/uorULMYEadCUcQSfGL1pb0joEu8gyz2vRMH8GVhhUSnANC3h1T1nl&#10;WIveG51N8nyeteAq64AL7/H1qlPSZfIvpeDhVkovAtElxdxCOl06H+OZLS/Y4skxWyvep8H+IYuG&#10;KYNBR1dXLDCyc+qVq0ZxBx5kOOPQZCCl4iLVgNUU+Ytq7mpmRaoFyfF2pMn/P7f8Zn9ntw5paK1f&#10;eBRjFQfpmviP+ZFDIus4kiUOgXB8PD+fF/N8RglHXfFxPp0Xs0hndjK3zocvAhoShZI6/BqJJLa/&#10;9qGDDpAYzYNW1UZpnS6xA8RaO7Jn+O0Y58KEog/wG1KbiDcQLTun8SU71ZOkcNQi4rT5JiRRFVYw&#10;ScmkVnsdKOVQs0p08Wc5/oboQ2qp2OQwoiXGH30Xf/LdZdnjo6lInToa5383Hi1SZDBhNG6UAfeW&#10;Az3SJzv8QFJHTWTpEarj1hEH3Zx4yzcKP90182HLHA4GjhAOe7jFQ2poSwq9REkN7udb7xGP/Ypa&#10;SloctJL6HzvmBCX6q8FO/lxMp3Ey02U6O5/gxT3XPD7XmF2zBuyHAteK5UmM+KAHUTpoHnAnrGJU&#10;VDHDMXZJeXDDZR26BYBbhYvVKsFwGi0L1+bO8ug8shpb8/7wwJzt+zdg69/AMJRs8aKNO2y0NLDa&#10;BZAq9fiJ155vnOTUOP3Wiavi+T2hTrtx+QsAAP//AwBQSwMEFAAGAAgAAAAhANUrjgfgAAAACQEA&#10;AA8AAABkcnMvZG93bnJldi54bWxMj8FOwzAQRO9I/IO1SNyo06S0Vcimqir1ghASgR64ufESB+J1&#10;FLtp4OtxT3BcvdHM22Iz2U6MNPjWMcJ8loAgrp1uuUF4e93frUH4oFirzjEhfJOHTXl9VahcuzO/&#10;0FiFRsQS9rlCMCH0uZS+NmSVn7meOLIPN1gV4jk0Ug/qHMttJ9MkWUqrWo4LRvW0M1R/VSeL8Pi5&#10;yiozbsef7JkOxh2e3vc7j3h7M20fQASawl8YLvpRHcrodHQn1l50COk8BhGy9QrEBafpYgHiGMF9&#10;tgRZFvL/B+UvAAAA//8DAFBLAQItABQABgAIAAAAIQC2gziS/gAAAOEBAAATAAAAAAAAAAAAAAAA&#10;AAAAAABbQ29udGVudF9UeXBlc10ueG1sUEsBAi0AFAAGAAgAAAAhADj9If/WAAAAlAEAAAsAAAAA&#10;AAAAAAAAAAAALwEAAF9yZWxzLy5yZWxzUEsBAi0AFAAGAAgAAAAhAP2ggvpzAgAAYwUAAA4AAAAA&#10;AAAAAAAAAAAALgIAAGRycy9lMm9Eb2MueG1sUEsBAi0AFAAGAAgAAAAhANUrjgfgAAAACQEAAA8A&#10;AAAAAAAAAAAAAAAAzQQAAGRycy9kb3ducmV2LnhtbFBLBQYAAAAABAAEAPMAAADaBQAAAAA=&#10;" fillcolor="#1c1f38 [3204]" stroked="f" strokeweight="1pt">
                <w10:wrap anchorx="page"/>
              </v:rect>
            </w:pict>
          </mc:Fallback>
        </mc:AlternateContent>
      </w:r>
    </w:p>
    <w:p w14:paraId="702E4C2B" w14:textId="13B70005" w:rsidR="00DC2272" w:rsidRPr="00BA6501" w:rsidRDefault="00DC2272" w:rsidP="00965EF3">
      <w:pPr>
        <w:spacing w:after="0" w:line="240" w:lineRule="auto"/>
        <w:contextualSpacing/>
        <w:rPr>
          <w:rFonts w:ascii="Plus Jakarta Sa" w:hAnsi="Plus Jakarta Sa"/>
          <w:color w:val="000000" w:themeColor="text1"/>
          <w:sz w:val="24"/>
          <w:szCs w:val="24"/>
        </w:rPr>
      </w:pPr>
    </w:p>
    <w:p w14:paraId="325B9C84" w14:textId="740ACDA5" w:rsidR="00314896" w:rsidRPr="00965EF3" w:rsidRDefault="00965EF3" w:rsidP="00965EF3">
      <w:pPr>
        <w:spacing w:after="0" w:line="240" w:lineRule="auto"/>
        <w:contextualSpacing/>
        <w:rPr>
          <w:rFonts w:ascii="Plus Jakarta Sa" w:eastAsiaTheme="majorEastAsia" w:hAnsi="Plus Jakarta Sa" w:cstheme="majorBidi" w:hint="eastAsia"/>
          <w:b/>
          <w:noProof/>
          <w:color w:val="FFFFFF" w:themeColor="background1"/>
          <w:sz w:val="32"/>
          <w:szCs w:val="32"/>
        </w:rPr>
      </w:pPr>
      <w:r w:rsidRPr="00965EF3">
        <w:rPr>
          <w:rFonts w:ascii="Plus Jakarta Sa" w:hAnsi="Plus Jakarta Sa"/>
          <w:b/>
          <w:color w:val="FFFFFF" w:themeColor="background1"/>
          <w:sz w:val="24"/>
          <w:szCs w:val="24"/>
        </w:rPr>
        <w:t>Need help defining the right loyalty model across markets?</w:t>
      </w:r>
    </w:p>
    <w:p w14:paraId="31A541C1" w14:textId="77777777" w:rsidR="00965EF3" w:rsidRPr="00965EF3" w:rsidRDefault="00965EF3" w:rsidP="00965EF3">
      <w:pPr>
        <w:spacing w:after="0" w:line="240" w:lineRule="auto"/>
        <w:contextualSpacing/>
        <w:rPr>
          <w:rFonts w:ascii="Plus Jakarta Sa" w:hAnsi="Plus Jakarta Sa"/>
          <w:color w:val="FFFFFF" w:themeColor="background1"/>
          <w:sz w:val="24"/>
          <w:szCs w:val="24"/>
        </w:rPr>
      </w:pPr>
    </w:p>
    <w:p w14:paraId="2BD85B03" w14:textId="77777777" w:rsidR="00965EF3" w:rsidRPr="00965EF3" w:rsidRDefault="00965EF3" w:rsidP="00965EF3">
      <w:pPr>
        <w:spacing w:after="0" w:line="240" w:lineRule="auto"/>
        <w:contextualSpacing/>
        <w:rPr>
          <w:rFonts w:ascii="Plus Jakarta Sa" w:hAnsi="Plus Jakarta Sa"/>
          <w:color w:val="FFFFFF" w:themeColor="background1"/>
          <w:sz w:val="24"/>
          <w:szCs w:val="24"/>
        </w:rPr>
      </w:pPr>
      <w:r w:rsidRPr="00965EF3">
        <w:rPr>
          <w:rFonts w:ascii="Plus Jakarta Sa" w:hAnsi="Plus Jakarta Sa"/>
          <w:color w:val="FFFFFF" w:themeColor="background1"/>
          <w:sz w:val="24"/>
          <w:szCs w:val="24"/>
        </w:rPr>
        <w:t>Annex Cloud helps global brands design, launch, and optimize connected loyalty programs that balance enterprise scale with market-level flexibility.</w:t>
      </w:r>
    </w:p>
    <w:p w14:paraId="26284A06" w14:textId="77777777" w:rsidR="00965EF3" w:rsidRPr="00965EF3" w:rsidRDefault="00965EF3" w:rsidP="00965EF3">
      <w:pPr>
        <w:spacing w:after="0" w:line="240" w:lineRule="auto"/>
        <w:contextualSpacing/>
        <w:rPr>
          <w:rFonts w:ascii="Plus Jakarta Sa" w:hAnsi="Plus Jakarta Sa"/>
          <w:b/>
          <w:color w:val="FFFFFF" w:themeColor="background1"/>
          <w:sz w:val="24"/>
          <w:szCs w:val="24"/>
        </w:rPr>
      </w:pPr>
    </w:p>
    <w:p w14:paraId="4C8ACE59" w14:textId="72AC8A0A" w:rsidR="00314896" w:rsidRPr="00965EF3" w:rsidRDefault="00965EF3" w:rsidP="00965EF3">
      <w:pPr>
        <w:spacing w:after="0" w:line="240" w:lineRule="auto"/>
        <w:contextualSpacing/>
        <w:rPr>
          <w:rFonts w:ascii="Plus Jakarta Sa" w:eastAsiaTheme="majorEastAsia" w:hAnsi="Plus Jakarta Sa" w:cstheme="majorBidi" w:hint="eastAsia"/>
          <w:b/>
          <w:noProof/>
          <w:color w:val="F58E61" w:themeColor="accent4"/>
          <w:sz w:val="32"/>
          <w:szCs w:val="32"/>
        </w:rPr>
      </w:pPr>
      <w:r w:rsidRPr="00965EF3">
        <w:rPr>
          <w:rFonts w:ascii="Plus Jakarta Sa" w:hAnsi="Plus Jakarta Sa"/>
          <w:b/>
          <w:color w:val="F58E61" w:themeColor="accent4"/>
          <w:sz w:val="24"/>
          <w:szCs w:val="24"/>
        </w:rPr>
        <w:t xml:space="preserve">Talk to a loyalty expert at </w:t>
      </w:r>
      <w:hyperlink r:id="rId20" w:history="1">
        <w:r w:rsidRPr="00965EF3">
          <w:rPr>
            <w:rStyle w:val="Hyperlink"/>
            <w:rFonts w:ascii="Plus Jakarta Sa" w:hAnsi="Plus Jakarta Sa"/>
            <w:b/>
            <w:color w:val="F58E61" w:themeColor="accent4"/>
            <w:sz w:val="24"/>
            <w:szCs w:val="24"/>
          </w:rPr>
          <w:t>annexcloud.com</w:t>
        </w:r>
      </w:hyperlink>
    </w:p>
    <w:p w14:paraId="47E75CB2" w14:textId="77777777" w:rsidR="00123791" w:rsidRDefault="00123791" w:rsidP="00965EF3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3B834C99" w14:textId="77777777" w:rsidR="00123791" w:rsidRDefault="00123791" w:rsidP="00965EF3">
      <w:pPr>
        <w:spacing w:after="0" w:line="240" w:lineRule="auto"/>
        <w:contextualSpacing/>
        <w:rPr>
          <w:rFonts w:ascii="Plus Jakarta Sans" w:eastAsiaTheme="majorEastAsia" w:hAnsi="Plus Jakarta Sans" w:cstheme="majorBidi"/>
          <w:b/>
          <w:noProof/>
          <w:color w:val="A21B55" w:themeColor="accent6"/>
          <w:sz w:val="32"/>
          <w:szCs w:val="32"/>
        </w:rPr>
      </w:pPr>
    </w:p>
    <w:p w14:paraId="085F84C3" w14:textId="4B5C0272" w:rsidR="00DC2272" w:rsidRPr="00DC2272" w:rsidRDefault="00DC2272" w:rsidP="00965EF3">
      <w:pPr>
        <w:pStyle w:val="BodyText1"/>
        <w:spacing w:before="0" w:line="240" w:lineRule="auto"/>
        <w:contextualSpacing/>
        <w:rPr>
          <w:rFonts w:ascii="Plus Jakarta Sans" w:hAnsi="Plus Jakarta Sans"/>
          <w:color w:val="A21B55" w:themeColor="accent6"/>
        </w:rPr>
      </w:pPr>
    </w:p>
    <w:sectPr w:rsidR="00DC2272" w:rsidRPr="00DC2272" w:rsidSect="00D41267">
      <w:headerReference w:type="default" r:id="rId21"/>
      <w:footerReference w:type="default" r:id="rId22"/>
      <w:type w:val="continuous"/>
      <w:pgSz w:w="12240" w:h="15840" w:code="1"/>
      <w:pgMar w:top="1080" w:right="1080" w:bottom="1080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A15D6" w14:textId="77777777" w:rsidR="007A0993" w:rsidRDefault="007A0993" w:rsidP="00F16CA1">
      <w:pPr>
        <w:spacing w:after="0" w:line="240" w:lineRule="auto"/>
      </w:pPr>
      <w:r>
        <w:separator/>
      </w:r>
    </w:p>
  </w:endnote>
  <w:endnote w:type="continuationSeparator" w:id="0">
    <w:p w14:paraId="08B86DB0" w14:textId="77777777" w:rsidR="007A0993" w:rsidRDefault="007A0993" w:rsidP="00F16CA1">
      <w:pPr>
        <w:spacing w:after="0" w:line="240" w:lineRule="auto"/>
      </w:pPr>
      <w:r>
        <w:continuationSeparator/>
      </w:r>
    </w:p>
  </w:endnote>
  <w:endnote w:type="continuationNotice" w:id="1">
    <w:p w14:paraId="17A9A43A" w14:textId="77777777" w:rsidR="007A0993" w:rsidRDefault="007A09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lus Jakarta Sans">
    <w:altName w:val="Calibri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Times New Roman (Body CS)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lus Jakarta Sa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FA5995F" w14:paraId="0DEF576D" w14:textId="77777777" w:rsidTr="5FA5995F">
      <w:trPr>
        <w:trHeight w:val="300"/>
      </w:trPr>
      <w:tc>
        <w:tcPr>
          <w:tcW w:w="3360" w:type="dxa"/>
        </w:tcPr>
        <w:p w14:paraId="5958DE4C" w14:textId="480C4739" w:rsidR="5FA5995F" w:rsidRDefault="5FA5995F" w:rsidP="5FA5995F">
          <w:pPr>
            <w:pStyle w:val="Header"/>
            <w:ind w:left="-115"/>
          </w:pPr>
        </w:p>
      </w:tc>
      <w:tc>
        <w:tcPr>
          <w:tcW w:w="3360" w:type="dxa"/>
        </w:tcPr>
        <w:p w14:paraId="44F288C6" w14:textId="1FBF4F69" w:rsidR="5FA5995F" w:rsidRDefault="5FA5995F" w:rsidP="5FA5995F">
          <w:pPr>
            <w:pStyle w:val="Header"/>
            <w:jc w:val="center"/>
          </w:pPr>
        </w:p>
      </w:tc>
      <w:tc>
        <w:tcPr>
          <w:tcW w:w="3360" w:type="dxa"/>
        </w:tcPr>
        <w:p w14:paraId="79474F23" w14:textId="7F71B0E3" w:rsidR="5FA5995F" w:rsidRDefault="5FA5995F" w:rsidP="5FA5995F">
          <w:pPr>
            <w:pStyle w:val="Header"/>
            <w:ind w:right="-115"/>
            <w:jc w:val="right"/>
          </w:pPr>
        </w:p>
      </w:tc>
    </w:tr>
  </w:tbl>
  <w:p w14:paraId="737E8677" w14:textId="46FC7304" w:rsidR="5FA5995F" w:rsidRDefault="5FA5995F" w:rsidP="5FA59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7BB6" w14:textId="459D39A8" w:rsidR="00A72250" w:rsidRPr="00C13FA2" w:rsidRDefault="00C13FA2" w:rsidP="00C13FA2">
    <w:pPr>
      <w:pStyle w:val="Footer"/>
      <w:pBdr>
        <w:top w:val="single" w:sz="6" w:space="20" w:color="FFFFFF" w:themeColor="background1"/>
      </w:pBdr>
      <w:tabs>
        <w:tab w:val="clear" w:pos="4680"/>
        <w:tab w:val="clear" w:pos="9360"/>
        <w:tab w:val="left" w:pos="6480"/>
        <w:tab w:val="right" w:pos="10080"/>
      </w:tabs>
      <w:rPr>
        <w:b/>
        <w:bCs/>
        <w:color w:val="FFFFFF" w:themeColor="background1"/>
        <w:sz w:val="18"/>
      </w:rPr>
    </w:pPr>
    <w:r w:rsidRPr="00C13FA2">
      <w:rPr>
        <w:b/>
        <w:bCs/>
        <w:color w:val="FFFFFF" w:themeColor="background1"/>
        <w:sz w:val="18"/>
      </w:rPr>
      <w:t xml:space="preserve"> </w:t>
    </w:r>
    <w:r w:rsidRPr="00C13FA2">
      <w:rPr>
        <w:b/>
        <w:bCs/>
        <w:color w:val="FFFFFF" w:themeColor="background1"/>
        <w:sz w:val="18"/>
      </w:rPr>
      <w:tab/>
    </w:r>
    <w:r w:rsidR="00384C81">
      <w:rPr>
        <w:b/>
        <w:bCs/>
        <w:color w:val="FFFFFF" w:themeColor="background1"/>
        <w:sz w:val="18"/>
      </w:rPr>
      <w:t xml:space="preserve">         </w:t>
    </w:r>
    <w:r w:rsidRPr="00C13FA2">
      <w:rPr>
        <w:color w:val="FFFFFF" w:themeColor="background1"/>
        <w:sz w:val="14"/>
      </w:rPr>
      <w:t>Confidential.</w:t>
    </w:r>
    <w:r w:rsidRPr="00C13FA2">
      <w:rPr>
        <w:color w:val="FFFFFF" w:themeColor="background1"/>
        <w:spacing w:val="-8"/>
        <w:sz w:val="14"/>
      </w:rPr>
      <w:t xml:space="preserve"> </w:t>
    </w:r>
    <w:r w:rsidRPr="00C13FA2">
      <w:rPr>
        <w:color w:val="FFFFFF" w:themeColor="background1"/>
        <w:sz w:val="14"/>
      </w:rPr>
      <w:t>Copyright</w:t>
    </w:r>
    <w:r w:rsidRPr="00C13FA2">
      <w:rPr>
        <w:color w:val="FFFFFF" w:themeColor="background1"/>
        <w:spacing w:val="-7"/>
        <w:sz w:val="14"/>
      </w:rPr>
      <w:t xml:space="preserve"> </w:t>
    </w:r>
    <w:r w:rsidRPr="00C13FA2">
      <w:rPr>
        <w:color w:val="FFFFFF" w:themeColor="background1"/>
        <w:sz w:val="14"/>
      </w:rPr>
      <w:t>©</w:t>
    </w:r>
    <w:r w:rsidRPr="00C13FA2">
      <w:rPr>
        <w:color w:val="FFFFFF" w:themeColor="background1"/>
        <w:spacing w:val="-7"/>
        <w:sz w:val="14"/>
      </w:rPr>
      <w:t xml:space="preserve"> </w:t>
    </w:r>
    <w:r w:rsidR="00B317D5">
      <w:rPr>
        <w:color w:val="FFFFFF" w:themeColor="background1"/>
        <w:sz w:val="14"/>
      </w:rPr>
      <w:t>Annex Cloud</w:t>
    </w:r>
    <w:r w:rsidRPr="00C13FA2">
      <w:rPr>
        <w:color w:val="FFFFFF" w:themeColor="background1"/>
        <w:spacing w:val="-2"/>
        <w:sz w:val="14"/>
      </w:rPr>
      <w:t>.</w:t>
    </w:r>
    <w:r w:rsidR="00A72250" w:rsidRPr="00C13FA2">
      <w:rPr>
        <w:b/>
        <w:bCs/>
        <w:color w:val="FFFFFF" w:themeColor="background1"/>
        <w:sz w:val="18"/>
      </w:rPr>
      <w:tab/>
    </w:r>
    <w:r w:rsidR="00A72250" w:rsidRPr="00C13FA2">
      <w:rPr>
        <w:b/>
        <w:bCs/>
        <w:color w:val="FFFFFF" w:themeColor="background1"/>
        <w:sz w:val="14"/>
        <w:szCs w:val="14"/>
      </w:rPr>
      <w:fldChar w:fldCharType="begin"/>
    </w:r>
    <w:r w:rsidR="00A72250" w:rsidRPr="00C13FA2">
      <w:rPr>
        <w:b/>
        <w:bCs/>
        <w:color w:val="FFFFFF" w:themeColor="background1"/>
        <w:sz w:val="14"/>
        <w:szCs w:val="14"/>
      </w:rPr>
      <w:instrText xml:space="preserve"> page </w:instrText>
    </w:r>
    <w:r w:rsidR="00A72250" w:rsidRPr="00C13FA2">
      <w:rPr>
        <w:b/>
        <w:bCs/>
        <w:color w:val="FFFFFF" w:themeColor="background1"/>
        <w:sz w:val="14"/>
        <w:szCs w:val="14"/>
      </w:rPr>
      <w:fldChar w:fldCharType="separate"/>
    </w:r>
    <w:r w:rsidR="00A72250" w:rsidRPr="00C13FA2">
      <w:rPr>
        <w:b/>
        <w:bCs/>
        <w:noProof/>
        <w:color w:val="FFFFFF" w:themeColor="background1"/>
        <w:sz w:val="14"/>
        <w:szCs w:val="14"/>
      </w:rPr>
      <w:t>1</w:t>
    </w:r>
    <w:r w:rsidR="00A72250" w:rsidRPr="00C13FA2">
      <w:rPr>
        <w:b/>
        <w:bCs/>
        <w:color w:val="FFFFFF" w:themeColor="background1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93BA7" w14:textId="77777777" w:rsidR="00D41267" w:rsidRDefault="00D41267" w:rsidP="005D4C4B">
    <w:pPr>
      <w:pStyle w:val="Footer"/>
      <w:pBdr>
        <w:top w:val="single" w:sz="6" w:space="20" w:color="FFFFFF" w:themeColor="background1"/>
      </w:pBdr>
      <w:tabs>
        <w:tab w:val="clear" w:pos="4680"/>
        <w:tab w:val="clear" w:pos="9360"/>
        <w:tab w:val="left" w:pos="6480"/>
        <w:tab w:val="right" w:pos="10080"/>
      </w:tabs>
      <w:jc w:val="right"/>
      <w:rPr>
        <w:sz w:val="14"/>
      </w:rPr>
    </w:pPr>
  </w:p>
  <w:p w14:paraId="0F6D37D4" w14:textId="77777777" w:rsidR="00D41267" w:rsidRDefault="00D41267" w:rsidP="005D4C4B">
    <w:pPr>
      <w:pStyle w:val="Footer"/>
      <w:pBdr>
        <w:top w:val="single" w:sz="6" w:space="20" w:color="FFFFFF" w:themeColor="background1"/>
      </w:pBdr>
      <w:tabs>
        <w:tab w:val="clear" w:pos="4680"/>
        <w:tab w:val="clear" w:pos="9360"/>
        <w:tab w:val="left" w:pos="6480"/>
        <w:tab w:val="right" w:pos="10080"/>
      </w:tabs>
      <w:jc w:val="right"/>
      <w:rPr>
        <w:sz w:val="14"/>
      </w:rPr>
    </w:pPr>
  </w:p>
  <w:p w14:paraId="622A0827" w14:textId="7F0DD6C3" w:rsidR="005D4C4B" w:rsidRPr="005D4C4B" w:rsidRDefault="00DC2272" w:rsidP="005D4C4B">
    <w:pPr>
      <w:pStyle w:val="Footer"/>
      <w:pBdr>
        <w:top w:val="single" w:sz="6" w:space="20" w:color="FFFFFF" w:themeColor="background1"/>
      </w:pBdr>
      <w:tabs>
        <w:tab w:val="clear" w:pos="4680"/>
        <w:tab w:val="clear" w:pos="9360"/>
        <w:tab w:val="left" w:pos="6480"/>
        <w:tab w:val="right" w:pos="10080"/>
      </w:tabs>
      <w:jc w:val="right"/>
      <w:rPr>
        <w:b/>
        <w:bCs/>
        <w:sz w:val="18"/>
      </w:rPr>
    </w:pPr>
    <w:r>
      <w:rPr>
        <w:sz w:val="14"/>
      </w:rPr>
      <w:t>Global Loyalty Decision Guide</w:t>
    </w:r>
    <w:r w:rsidR="005D4C4B" w:rsidRPr="005D4C4B">
      <w:rPr>
        <w:sz w:val="14"/>
      </w:rPr>
      <w:t>.</w:t>
    </w:r>
    <w:r w:rsidR="005D4C4B" w:rsidRPr="005D4C4B">
      <w:rPr>
        <w:spacing w:val="-8"/>
        <w:sz w:val="14"/>
      </w:rPr>
      <w:t xml:space="preserve"> </w:t>
    </w:r>
    <w:r w:rsidR="005D4C4B" w:rsidRPr="005D4C4B">
      <w:rPr>
        <w:sz w:val="14"/>
      </w:rPr>
      <w:t>Copyright</w:t>
    </w:r>
    <w:r w:rsidR="005D4C4B" w:rsidRPr="005D4C4B">
      <w:rPr>
        <w:spacing w:val="-7"/>
        <w:sz w:val="14"/>
      </w:rPr>
      <w:t xml:space="preserve"> </w:t>
    </w:r>
    <w:r w:rsidR="005D4C4B" w:rsidRPr="005D4C4B">
      <w:rPr>
        <w:sz w:val="14"/>
      </w:rPr>
      <w:t>©</w:t>
    </w:r>
    <w:r w:rsidR="005D4C4B" w:rsidRPr="005D4C4B">
      <w:rPr>
        <w:spacing w:val="-7"/>
        <w:sz w:val="14"/>
      </w:rPr>
      <w:t xml:space="preserve"> </w:t>
    </w:r>
    <w:r w:rsidR="00D4678F">
      <w:rPr>
        <w:sz w:val="14"/>
      </w:rPr>
      <w:t>Annex Cloud</w:t>
    </w:r>
    <w:r w:rsidR="005D4C4B" w:rsidRPr="005D4C4B">
      <w:rPr>
        <w:spacing w:val="-2"/>
        <w:sz w:val="14"/>
      </w:rPr>
      <w:t>.</w:t>
    </w:r>
    <w:r w:rsidR="005D4C4B">
      <w:rPr>
        <w:spacing w:val="-2"/>
        <w:sz w:val="14"/>
      </w:rPr>
      <w:t xml:space="preserve"> </w:t>
    </w:r>
    <w:r w:rsidR="005D4C4B" w:rsidRPr="005D4C4B">
      <w:rPr>
        <w:b/>
        <w:bCs/>
        <w:sz w:val="14"/>
        <w:szCs w:val="14"/>
      </w:rPr>
      <w:t xml:space="preserve"> </w:t>
    </w:r>
    <w:r w:rsidR="005D4C4B" w:rsidRPr="005D4C4B">
      <w:rPr>
        <w:b/>
        <w:bCs/>
        <w:sz w:val="14"/>
        <w:szCs w:val="14"/>
      </w:rPr>
      <w:fldChar w:fldCharType="begin"/>
    </w:r>
    <w:r w:rsidR="005D4C4B" w:rsidRPr="005D4C4B">
      <w:rPr>
        <w:b/>
        <w:bCs/>
        <w:sz w:val="14"/>
        <w:szCs w:val="14"/>
      </w:rPr>
      <w:instrText xml:space="preserve"> page </w:instrText>
    </w:r>
    <w:r w:rsidR="005D4C4B" w:rsidRPr="005D4C4B">
      <w:rPr>
        <w:b/>
        <w:bCs/>
        <w:sz w:val="14"/>
        <w:szCs w:val="14"/>
      </w:rPr>
      <w:fldChar w:fldCharType="separate"/>
    </w:r>
    <w:r w:rsidR="005D4C4B" w:rsidRPr="005D4C4B">
      <w:rPr>
        <w:b/>
        <w:bCs/>
        <w:sz w:val="14"/>
        <w:szCs w:val="14"/>
      </w:rPr>
      <w:t>4</w:t>
    </w:r>
    <w:r w:rsidR="005D4C4B" w:rsidRPr="005D4C4B">
      <w:rPr>
        <w:b/>
        <w:bCs/>
        <w:sz w:val="14"/>
        <w:szCs w:val="14"/>
      </w:rPr>
      <w:fldChar w:fldCharType="end"/>
    </w:r>
  </w:p>
  <w:p w14:paraId="29941E6A" w14:textId="29793A82" w:rsidR="00113AA0" w:rsidRPr="005D4C4B" w:rsidRDefault="00113AA0" w:rsidP="00113AA0">
    <w:pPr>
      <w:pStyle w:val="Footer"/>
    </w:pPr>
  </w:p>
  <w:p w14:paraId="0AC18534" w14:textId="77777777" w:rsidR="00F061D4" w:rsidRDefault="00F061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1E601" w14:textId="77777777" w:rsidR="007A0993" w:rsidRPr="00D838E7" w:rsidRDefault="007A0993" w:rsidP="00F16CA1">
      <w:pPr>
        <w:spacing w:after="0" w:line="240" w:lineRule="auto"/>
        <w:rPr>
          <w:color w:val="E91768" w:themeColor="accent2"/>
        </w:rPr>
      </w:pPr>
      <w:r w:rsidRPr="00D838E7">
        <w:rPr>
          <w:color w:val="E91768" w:themeColor="accent2"/>
        </w:rPr>
        <w:separator/>
      </w:r>
    </w:p>
  </w:footnote>
  <w:footnote w:type="continuationSeparator" w:id="0">
    <w:p w14:paraId="214FFFF2" w14:textId="77777777" w:rsidR="007A0993" w:rsidRDefault="007A0993" w:rsidP="00F16CA1">
      <w:pPr>
        <w:spacing w:after="0" w:line="240" w:lineRule="auto"/>
      </w:pPr>
      <w:r>
        <w:continuationSeparator/>
      </w:r>
    </w:p>
  </w:footnote>
  <w:footnote w:type="continuationNotice" w:id="1">
    <w:p w14:paraId="38FADBFE" w14:textId="77777777" w:rsidR="007A0993" w:rsidRDefault="007A09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D36C" w14:textId="77777777" w:rsidR="006C1486" w:rsidRDefault="006C1486">
    <w:pPr>
      <w:pStyle w:val="Header"/>
    </w:pPr>
  </w:p>
  <w:p w14:paraId="6368F433" w14:textId="77777777" w:rsidR="00AB1641" w:rsidRDefault="00AB164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FA5995F" w14:paraId="4A2B48A1" w14:textId="77777777" w:rsidTr="5FA5995F">
      <w:trPr>
        <w:trHeight w:val="300"/>
      </w:trPr>
      <w:tc>
        <w:tcPr>
          <w:tcW w:w="3360" w:type="dxa"/>
        </w:tcPr>
        <w:p w14:paraId="3A17EDD2" w14:textId="77C5A510" w:rsidR="5FA5995F" w:rsidRDefault="5FA5995F" w:rsidP="5FA5995F">
          <w:pPr>
            <w:pStyle w:val="Header"/>
            <w:ind w:left="-115"/>
          </w:pPr>
        </w:p>
      </w:tc>
      <w:tc>
        <w:tcPr>
          <w:tcW w:w="3360" w:type="dxa"/>
        </w:tcPr>
        <w:p w14:paraId="51FC04DA" w14:textId="3DFBC94E" w:rsidR="5FA5995F" w:rsidRDefault="5FA5995F" w:rsidP="5FA5995F">
          <w:pPr>
            <w:pStyle w:val="Header"/>
            <w:jc w:val="center"/>
          </w:pPr>
        </w:p>
      </w:tc>
      <w:tc>
        <w:tcPr>
          <w:tcW w:w="3360" w:type="dxa"/>
        </w:tcPr>
        <w:p w14:paraId="38BFD604" w14:textId="1CC320B6" w:rsidR="5FA5995F" w:rsidRDefault="5FA5995F" w:rsidP="5FA5995F">
          <w:pPr>
            <w:pStyle w:val="Header"/>
            <w:ind w:right="-115"/>
            <w:jc w:val="right"/>
          </w:pPr>
        </w:p>
      </w:tc>
    </w:tr>
  </w:tbl>
  <w:p w14:paraId="1A672E5F" w14:textId="4926D8F5" w:rsidR="5FA5995F" w:rsidRDefault="5FA5995F" w:rsidP="5FA5995F">
    <w:pPr>
      <w:pStyle w:val="Header"/>
    </w:pPr>
  </w:p>
  <w:p w14:paraId="0DB946F4" w14:textId="77777777" w:rsidR="5FA5995F" w:rsidRDefault="5FA5995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A04EA" w14:textId="77777777" w:rsidR="006C1486" w:rsidRDefault="006C1486">
    <w:pPr>
      <w:pStyle w:val="Header"/>
    </w:pPr>
  </w:p>
  <w:p w14:paraId="3697504B" w14:textId="77777777" w:rsidR="00AB1641" w:rsidRDefault="00AB164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E43EF" w14:textId="77777777" w:rsidR="00A72250" w:rsidRPr="00A72250" w:rsidRDefault="00C13FA2" w:rsidP="00A7225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847EE39" wp14:editId="52C6E884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772400" cy="10692130"/>
              <wp:effectExtent l="0" t="0" r="0" b="0"/>
              <wp:wrapNone/>
              <wp:docPr id="35" name="Rectangl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06921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670B35D3" id="Rectangle 35" o:spid="_x0000_s1026" style="position:absolute;margin-left:560.8pt;margin-top:0;width:612pt;height:841.9pt;z-index:-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PLJ6wEAALoDAAAOAAAAZHJzL2Uyb0RvYy54bWysU9tu2zAMfR+wfxD0vtjOsmY14hRFig4D&#10;ugvQ7QMYWY6FyaJGKXG6rx8lp2mwvQ17EUSROuI5PFrdHAcrDpqCQdfIalZKoZ3C1rhdI79/u3/z&#10;XooQwbVg0elGPukgb9avX61GX+s59mhbTYJBXKhH38g+Rl8XRVC9HiDM0GvHyQ5pgMgh7YqWYGT0&#10;wRbzsrwqRqTWEyodAp/eTUm5zvhdp1X80nVBR2Ebyb3FvFJet2kt1iuodwS+N+rUBvxDFwMYx4+e&#10;oe4ggtiT+QtqMIowYBdnCocCu84onTkwm6r8g81jD15nLixO8GeZwv+DVZ8Pj/4rpdaDf0D1IwiH&#10;mx7cTt8S4dhraPm5KglVjD7U5wspCHxVbMdP2PJoYR8xa3DsaEiAzE4cs9RPZ6n1MQrFh8vlcr4o&#10;eSKKc1V5dT2v3uZpFFA/3/cU4geNg0ibRhIPM+PD4SHE1A/UzyW5f7SmvTfW5iAZSG8siQPw6EEp&#10;7eLEgpleVlqX6h2mmxNoOslcE73kpFBvsX1iqoSTgdjwvOmRfkkxsnkaGX7ugbQU9qNjua6rxSK5&#10;LQeLd8s5B3SZ2V5mwCmGamSUYtpu4uTQvSez6/mlKvN2eMsSdyZzf+nq1CwbJEtyMnNy4GWcq16+&#10;3Po3AAAA//8DAFBLAwQUAAYACAAAACEAoKeUxtwAAAAHAQAADwAAAGRycy9kb3ducmV2LnhtbEyP&#10;QUvEMBCF74L/IYzgzU2tspTadCmCKOth2SroMW3GtrSZlCbt1n/vrBe9DPN4w5vvZbvVDmLByXeO&#10;FNxuIhBItTMdNQre355uEhA+aDJ6cIQKvtHDLr+8yHRq3ImOuJShERxCPtUK2hDGVEpft2i137gR&#10;ib0vN1kdWE6NNJM+cbgdZBxFW2l1R/yh1SM+tlj35WwVvHwW4XlfzXv3URz78rU9LH1/UOr6ai0e&#10;QARcw98xnPEZHXJmqtxMxotBARcJv/PsxfE964q3bXKXgMwz+Z8//wEAAP//AwBQSwECLQAUAAYA&#10;CAAAACEAtoM4kv4AAADhAQAAEwAAAAAAAAAAAAAAAAAAAAAAW0NvbnRlbnRfVHlwZXNdLnhtbFBL&#10;AQItABQABgAIAAAAIQA4/SH/1gAAAJQBAAALAAAAAAAAAAAAAAAAAC8BAABfcmVscy8ucmVsc1BL&#10;AQItABQABgAIAAAAIQBkePLJ6wEAALoDAAAOAAAAAAAAAAAAAAAAAC4CAABkcnMvZTJvRG9jLnht&#10;bFBLAQItABQABgAIAAAAIQCgp5TG3AAAAAcBAAAPAAAAAAAAAAAAAAAAAEUEAABkcnMvZG93bnJl&#10;di54bWxQSwUGAAAAAAQABADzAAAATgUAAAAA&#10;" fillcolor="#1c1f38 [3204]" stroked="f"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BCF87" w14:textId="53A5F729" w:rsidR="00113AA0" w:rsidRPr="00113AA0" w:rsidRDefault="00113AA0" w:rsidP="00113AA0">
    <w:pPr>
      <w:pStyle w:val="Header"/>
      <w:spacing w:before="180"/>
      <w:jc w:val="right"/>
    </w:pPr>
  </w:p>
  <w:p w14:paraId="385F7936" w14:textId="77777777" w:rsidR="00F061D4" w:rsidRDefault="00F061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B46A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235879"/>
    <w:multiLevelType w:val="hybridMultilevel"/>
    <w:tmpl w:val="BAD8A9A8"/>
    <w:lvl w:ilvl="0" w:tplc="8DA8D2B6">
      <w:start w:val="1"/>
      <w:numFmt w:val="bullet"/>
      <w:lvlText w:val="›"/>
      <w:lvlJc w:val="left"/>
      <w:pPr>
        <w:ind w:left="720" w:hanging="360"/>
      </w:pPr>
      <w:rPr>
        <w:rFonts w:ascii="Verdana" w:hAnsi="Verdan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1475A"/>
    <w:multiLevelType w:val="hybridMultilevel"/>
    <w:tmpl w:val="24D8B52E"/>
    <w:lvl w:ilvl="0" w:tplc="595C73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814A7"/>
    <w:multiLevelType w:val="hybridMultilevel"/>
    <w:tmpl w:val="F7BA39F4"/>
    <w:lvl w:ilvl="0" w:tplc="595C73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E4359"/>
    <w:multiLevelType w:val="hybridMultilevel"/>
    <w:tmpl w:val="927AF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45DF1"/>
    <w:multiLevelType w:val="hybridMultilevel"/>
    <w:tmpl w:val="29F2A5F4"/>
    <w:lvl w:ilvl="0" w:tplc="0EEAADA0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Bidi" w:hint="default"/>
        <w:color w:val="E91768" w:themeColor="accent2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35E02"/>
    <w:multiLevelType w:val="hybridMultilevel"/>
    <w:tmpl w:val="8AEAC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3C92"/>
    <w:multiLevelType w:val="hybridMultilevel"/>
    <w:tmpl w:val="D182138A"/>
    <w:lvl w:ilvl="0" w:tplc="705E4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5A3E1F"/>
    <w:multiLevelType w:val="multilevel"/>
    <w:tmpl w:val="A5E237A4"/>
    <w:name w:val="Bullets"/>
    <w:lvl w:ilvl="0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  <w:color w:val="E91768" w:themeColor="accent2"/>
      </w:rPr>
    </w:lvl>
    <w:lvl w:ilvl="1">
      <w:start w:val="1"/>
      <w:numFmt w:val="bullet"/>
      <w:pStyle w:val="Bullet2"/>
      <w:lvlText w:val="−"/>
      <w:lvlJc w:val="left"/>
      <w:pPr>
        <w:ind w:left="720" w:hanging="360"/>
      </w:pPr>
      <w:rPr>
        <w:rFonts w:ascii="Open Sans" w:hAnsi="Open Sans" w:hint="default"/>
        <w:color w:val="E91768" w:themeColor="accent2"/>
      </w:rPr>
    </w:lvl>
    <w:lvl w:ilvl="2">
      <w:start w:val="1"/>
      <w:numFmt w:val="bullet"/>
      <w:pStyle w:val="Bullet3"/>
      <w:lvlText w:val=""/>
      <w:lvlJc w:val="left"/>
      <w:pPr>
        <w:ind w:left="1080" w:hanging="360"/>
      </w:pPr>
      <w:rPr>
        <w:rFonts w:ascii="Wingdings" w:hAnsi="Wingdings" w:hint="default"/>
        <w:color w:val="E91768" w:themeColor="accent2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3F27D1E"/>
    <w:multiLevelType w:val="hybridMultilevel"/>
    <w:tmpl w:val="83108CC6"/>
    <w:lvl w:ilvl="0" w:tplc="A5E4A0E8">
      <w:numFmt w:val="bullet"/>
      <w:lvlText w:val="-"/>
      <w:lvlJc w:val="left"/>
      <w:pPr>
        <w:ind w:left="430" w:hanging="360"/>
      </w:pPr>
      <w:rPr>
        <w:rFonts w:ascii="Verdana" w:eastAsia="Times New Roman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0" w15:restartNumberingAfterBreak="0">
    <w:nsid w:val="35C3377C"/>
    <w:multiLevelType w:val="hybridMultilevel"/>
    <w:tmpl w:val="B8FAC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307E2"/>
    <w:multiLevelType w:val="hybridMultilevel"/>
    <w:tmpl w:val="8EF251F8"/>
    <w:lvl w:ilvl="0" w:tplc="A84624D4">
      <w:start w:val="1"/>
      <w:numFmt w:val="bullet"/>
      <w:pStyle w:val="bulletleveltwo"/>
      <w:lvlText w:val="─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39C45917"/>
    <w:multiLevelType w:val="hybridMultilevel"/>
    <w:tmpl w:val="117AC688"/>
    <w:lvl w:ilvl="0" w:tplc="C3B6D0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C2745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C4B68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A2B4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A8B2C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5811E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F4100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528E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9C4B5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CDF04B7"/>
    <w:multiLevelType w:val="hybridMultilevel"/>
    <w:tmpl w:val="43BA8BE4"/>
    <w:lvl w:ilvl="0" w:tplc="8DA8D2B6">
      <w:start w:val="1"/>
      <w:numFmt w:val="bullet"/>
      <w:lvlText w:val="›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155EA"/>
    <w:multiLevelType w:val="hybridMultilevel"/>
    <w:tmpl w:val="74FEC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DE0A9A"/>
    <w:multiLevelType w:val="hybridMultilevel"/>
    <w:tmpl w:val="707E0348"/>
    <w:lvl w:ilvl="0" w:tplc="8DA8D2B6">
      <w:start w:val="1"/>
      <w:numFmt w:val="bullet"/>
      <w:lvlText w:val="›"/>
      <w:lvlJc w:val="left"/>
      <w:pPr>
        <w:ind w:left="720" w:hanging="360"/>
      </w:pPr>
      <w:rPr>
        <w:rFonts w:ascii="Verdana" w:hAnsi="Verdan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4435E"/>
    <w:multiLevelType w:val="hybridMultilevel"/>
    <w:tmpl w:val="6E9E1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2F78EA"/>
    <w:multiLevelType w:val="hybridMultilevel"/>
    <w:tmpl w:val="82C652B6"/>
    <w:lvl w:ilvl="0" w:tplc="4B740748">
      <w:start w:val="1"/>
      <w:numFmt w:val="bullet"/>
      <w:pStyle w:val="bulletlevel1"/>
      <w:lvlText w:val="n"/>
      <w:lvlJc w:val="left"/>
      <w:pPr>
        <w:ind w:left="1080" w:hanging="360"/>
      </w:pPr>
      <w:rPr>
        <w:rFonts w:ascii="Wingdings" w:hAnsi="Wingdings" w:hint="default"/>
        <w:caps w:val="0"/>
        <w:strike w:val="0"/>
        <w:dstrike w:val="0"/>
        <w:vanish w:val="0"/>
        <w:color w:val="auto"/>
        <w:sz w:val="18"/>
        <w:vertAlign w:val="baseline"/>
      </w:rPr>
    </w:lvl>
    <w:lvl w:ilvl="1" w:tplc="A2C6155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000000" w:themeColor="text1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B230547"/>
    <w:multiLevelType w:val="hybridMultilevel"/>
    <w:tmpl w:val="513244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9E6E16"/>
    <w:multiLevelType w:val="hybridMultilevel"/>
    <w:tmpl w:val="03423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A929E4"/>
    <w:multiLevelType w:val="multilevel"/>
    <w:tmpl w:val="96EA2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5E6DD2"/>
    <w:multiLevelType w:val="hybridMultilevel"/>
    <w:tmpl w:val="A31018D0"/>
    <w:lvl w:ilvl="0" w:tplc="ECC4ACFA">
      <w:numFmt w:val="bullet"/>
      <w:lvlText w:val="-"/>
      <w:lvlJc w:val="left"/>
      <w:pPr>
        <w:ind w:left="720" w:hanging="360"/>
      </w:pPr>
      <w:rPr>
        <w:rFonts w:ascii="Verdana" w:eastAsiaTheme="majorEastAsia" w:hAnsi="Verdan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001ACC"/>
    <w:multiLevelType w:val="hybridMultilevel"/>
    <w:tmpl w:val="7804A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354989">
    <w:abstractNumId w:val="8"/>
  </w:num>
  <w:num w:numId="2" w16cid:durableId="1618901844">
    <w:abstractNumId w:val="11"/>
  </w:num>
  <w:num w:numId="3" w16cid:durableId="1846624828">
    <w:abstractNumId w:val="17"/>
  </w:num>
  <w:num w:numId="4" w16cid:durableId="2091274004">
    <w:abstractNumId w:val="1"/>
  </w:num>
  <w:num w:numId="5" w16cid:durableId="82579388">
    <w:abstractNumId w:val="12"/>
  </w:num>
  <w:num w:numId="6" w16cid:durableId="770710424">
    <w:abstractNumId w:val="14"/>
  </w:num>
  <w:num w:numId="7" w16cid:durableId="429088929">
    <w:abstractNumId w:val="16"/>
  </w:num>
  <w:num w:numId="8" w16cid:durableId="1654866403">
    <w:abstractNumId w:val="22"/>
  </w:num>
  <w:num w:numId="9" w16cid:durableId="1519661126">
    <w:abstractNumId w:val="7"/>
  </w:num>
  <w:num w:numId="10" w16cid:durableId="499852145">
    <w:abstractNumId w:val="9"/>
  </w:num>
  <w:num w:numId="11" w16cid:durableId="2115324572">
    <w:abstractNumId w:val="21"/>
  </w:num>
  <w:num w:numId="12" w16cid:durableId="26562611">
    <w:abstractNumId w:val="5"/>
  </w:num>
  <w:num w:numId="13" w16cid:durableId="658582144">
    <w:abstractNumId w:val="6"/>
  </w:num>
  <w:num w:numId="14" w16cid:durableId="1953129980">
    <w:abstractNumId w:val="15"/>
  </w:num>
  <w:num w:numId="15" w16cid:durableId="547574527">
    <w:abstractNumId w:val="10"/>
  </w:num>
  <w:num w:numId="16" w16cid:durableId="633483992">
    <w:abstractNumId w:val="13"/>
  </w:num>
  <w:num w:numId="17" w16cid:durableId="495927424">
    <w:abstractNumId w:val="20"/>
  </w:num>
  <w:num w:numId="18" w16cid:durableId="1529179001">
    <w:abstractNumId w:val="18"/>
  </w:num>
  <w:num w:numId="19" w16cid:durableId="980156503">
    <w:abstractNumId w:val="4"/>
  </w:num>
  <w:num w:numId="20" w16cid:durableId="414593866">
    <w:abstractNumId w:val="0"/>
  </w:num>
  <w:num w:numId="21" w16cid:durableId="413012217">
    <w:abstractNumId w:val="19"/>
  </w:num>
  <w:num w:numId="22" w16cid:durableId="465775922">
    <w:abstractNumId w:val="2"/>
  </w:num>
  <w:num w:numId="23" w16cid:durableId="1716394172">
    <w:abstractNumId w:val="3"/>
  </w:num>
  <w:num w:numId="24" w16cid:durableId="1778135751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FE6"/>
    <w:rsid w:val="0000039E"/>
    <w:rsid w:val="0000173A"/>
    <w:rsid w:val="000022AF"/>
    <w:rsid w:val="00002314"/>
    <w:rsid w:val="00002F43"/>
    <w:rsid w:val="0000541F"/>
    <w:rsid w:val="00007080"/>
    <w:rsid w:val="000074EC"/>
    <w:rsid w:val="00007583"/>
    <w:rsid w:val="000078A1"/>
    <w:rsid w:val="0001054E"/>
    <w:rsid w:val="00010640"/>
    <w:rsid w:val="000108FB"/>
    <w:rsid w:val="00010F8C"/>
    <w:rsid w:val="00012D93"/>
    <w:rsid w:val="00012EA0"/>
    <w:rsid w:val="00014F68"/>
    <w:rsid w:val="000167BA"/>
    <w:rsid w:val="00016EF6"/>
    <w:rsid w:val="00021273"/>
    <w:rsid w:val="00021EC7"/>
    <w:rsid w:val="000222AC"/>
    <w:rsid w:val="00023790"/>
    <w:rsid w:val="00024A25"/>
    <w:rsid w:val="00024FA6"/>
    <w:rsid w:val="000306BB"/>
    <w:rsid w:val="000315A9"/>
    <w:rsid w:val="0003169F"/>
    <w:rsid w:val="00032200"/>
    <w:rsid w:val="000323BE"/>
    <w:rsid w:val="0003339E"/>
    <w:rsid w:val="00033733"/>
    <w:rsid w:val="000365D8"/>
    <w:rsid w:val="00036AA6"/>
    <w:rsid w:val="00037E5E"/>
    <w:rsid w:val="000404C2"/>
    <w:rsid w:val="000433D1"/>
    <w:rsid w:val="00044143"/>
    <w:rsid w:val="000506F6"/>
    <w:rsid w:val="00050C82"/>
    <w:rsid w:val="000510B3"/>
    <w:rsid w:val="00051E03"/>
    <w:rsid w:val="00052305"/>
    <w:rsid w:val="00052771"/>
    <w:rsid w:val="00053A68"/>
    <w:rsid w:val="000564D8"/>
    <w:rsid w:val="00056987"/>
    <w:rsid w:val="00060731"/>
    <w:rsid w:val="000607C4"/>
    <w:rsid w:val="00060B81"/>
    <w:rsid w:val="00062374"/>
    <w:rsid w:val="0006283B"/>
    <w:rsid w:val="00063B6F"/>
    <w:rsid w:val="000642EE"/>
    <w:rsid w:val="000662C1"/>
    <w:rsid w:val="00066F5B"/>
    <w:rsid w:val="000675BD"/>
    <w:rsid w:val="00067F3F"/>
    <w:rsid w:val="00070D50"/>
    <w:rsid w:val="00071CE5"/>
    <w:rsid w:val="0007274A"/>
    <w:rsid w:val="00073F96"/>
    <w:rsid w:val="000747D3"/>
    <w:rsid w:val="00076E2E"/>
    <w:rsid w:val="0007727B"/>
    <w:rsid w:val="00080E0C"/>
    <w:rsid w:val="000825F8"/>
    <w:rsid w:val="00082B7D"/>
    <w:rsid w:val="000831FC"/>
    <w:rsid w:val="0008361C"/>
    <w:rsid w:val="00083D82"/>
    <w:rsid w:val="00084242"/>
    <w:rsid w:val="0008442B"/>
    <w:rsid w:val="00092485"/>
    <w:rsid w:val="00093250"/>
    <w:rsid w:val="00093E58"/>
    <w:rsid w:val="00096423"/>
    <w:rsid w:val="0009690E"/>
    <w:rsid w:val="000A03BD"/>
    <w:rsid w:val="000A1278"/>
    <w:rsid w:val="000A21E0"/>
    <w:rsid w:val="000A2689"/>
    <w:rsid w:val="000A3268"/>
    <w:rsid w:val="000A4FB5"/>
    <w:rsid w:val="000A506E"/>
    <w:rsid w:val="000A51ED"/>
    <w:rsid w:val="000A5E7E"/>
    <w:rsid w:val="000B1AAE"/>
    <w:rsid w:val="000B2F26"/>
    <w:rsid w:val="000B2FF1"/>
    <w:rsid w:val="000B38B5"/>
    <w:rsid w:val="000B41CF"/>
    <w:rsid w:val="000B4704"/>
    <w:rsid w:val="000B567B"/>
    <w:rsid w:val="000B5710"/>
    <w:rsid w:val="000B5E5B"/>
    <w:rsid w:val="000B61FD"/>
    <w:rsid w:val="000B63BC"/>
    <w:rsid w:val="000B64BF"/>
    <w:rsid w:val="000B714E"/>
    <w:rsid w:val="000B7A30"/>
    <w:rsid w:val="000C0E4A"/>
    <w:rsid w:val="000C2253"/>
    <w:rsid w:val="000C3361"/>
    <w:rsid w:val="000C3BD1"/>
    <w:rsid w:val="000C4A1F"/>
    <w:rsid w:val="000C4F7B"/>
    <w:rsid w:val="000C5BBB"/>
    <w:rsid w:val="000C5C54"/>
    <w:rsid w:val="000C7B9A"/>
    <w:rsid w:val="000D03C5"/>
    <w:rsid w:val="000D1482"/>
    <w:rsid w:val="000D19B2"/>
    <w:rsid w:val="000D1F6D"/>
    <w:rsid w:val="000D2B49"/>
    <w:rsid w:val="000D3982"/>
    <w:rsid w:val="000D41C7"/>
    <w:rsid w:val="000D53C9"/>
    <w:rsid w:val="000D7BC3"/>
    <w:rsid w:val="000E3AA4"/>
    <w:rsid w:val="000E4A8F"/>
    <w:rsid w:val="000E4B2D"/>
    <w:rsid w:val="000E50CD"/>
    <w:rsid w:val="000E510D"/>
    <w:rsid w:val="000E5897"/>
    <w:rsid w:val="000E6409"/>
    <w:rsid w:val="000E7CDD"/>
    <w:rsid w:val="000F0E5B"/>
    <w:rsid w:val="000F1B6C"/>
    <w:rsid w:val="000F241F"/>
    <w:rsid w:val="000F3472"/>
    <w:rsid w:val="000F3706"/>
    <w:rsid w:val="000F40F9"/>
    <w:rsid w:val="000F4603"/>
    <w:rsid w:val="000F5AF7"/>
    <w:rsid w:val="000F5CA0"/>
    <w:rsid w:val="000F603B"/>
    <w:rsid w:val="00100BEB"/>
    <w:rsid w:val="00100F94"/>
    <w:rsid w:val="001015A4"/>
    <w:rsid w:val="00102475"/>
    <w:rsid w:val="00102845"/>
    <w:rsid w:val="00103B33"/>
    <w:rsid w:val="00103D95"/>
    <w:rsid w:val="00104CDE"/>
    <w:rsid w:val="0011031F"/>
    <w:rsid w:val="00111C90"/>
    <w:rsid w:val="00111ED4"/>
    <w:rsid w:val="00112770"/>
    <w:rsid w:val="00112C58"/>
    <w:rsid w:val="00113053"/>
    <w:rsid w:val="00113AA0"/>
    <w:rsid w:val="001163F1"/>
    <w:rsid w:val="00117926"/>
    <w:rsid w:val="00117DA2"/>
    <w:rsid w:val="00117E50"/>
    <w:rsid w:val="001209FB"/>
    <w:rsid w:val="00123791"/>
    <w:rsid w:val="001244FC"/>
    <w:rsid w:val="00125026"/>
    <w:rsid w:val="0012551F"/>
    <w:rsid w:val="0012649E"/>
    <w:rsid w:val="001267B9"/>
    <w:rsid w:val="00126CE6"/>
    <w:rsid w:val="00126F60"/>
    <w:rsid w:val="00127100"/>
    <w:rsid w:val="00130E0F"/>
    <w:rsid w:val="00131697"/>
    <w:rsid w:val="0013452D"/>
    <w:rsid w:val="00146A54"/>
    <w:rsid w:val="0014771D"/>
    <w:rsid w:val="00151CEC"/>
    <w:rsid w:val="00152F6C"/>
    <w:rsid w:val="00153F8B"/>
    <w:rsid w:val="00154391"/>
    <w:rsid w:val="001546DA"/>
    <w:rsid w:val="00154E85"/>
    <w:rsid w:val="00157F14"/>
    <w:rsid w:val="00160A42"/>
    <w:rsid w:val="00160CF0"/>
    <w:rsid w:val="00162383"/>
    <w:rsid w:val="001627C2"/>
    <w:rsid w:val="00164E29"/>
    <w:rsid w:val="0016525A"/>
    <w:rsid w:val="001673AB"/>
    <w:rsid w:val="00167890"/>
    <w:rsid w:val="00167936"/>
    <w:rsid w:val="00170167"/>
    <w:rsid w:val="001708E5"/>
    <w:rsid w:val="00170E44"/>
    <w:rsid w:val="00171347"/>
    <w:rsid w:val="00171832"/>
    <w:rsid w:val="00171F67"/>
    <w:rsid w:val="001737ED"/>
    <w:rsid w:val="00173EEA"/>
    <w:rsid w:val="00175451"/>
    <w:rsid w:val="0017555F"/>
    <w:rsid w:val="0017613F"/>
    <w:rsid w:val="00176271"/>
    <w:rsid w:val="00176BFF"/>
    <w:rsid w:val="0017713E"/>
    <w:rsid w:val="001800BD"/>
    <w:rsid w:val="001808A4"/>
    <w:rsid w:val="001817EE"/>
    <w:rsid w:val="00181F5A"/>
    <w:rsid w:val="00182153"/>
    <w:rsid w:val="00182703"/>
    <w:rsid w:val="00182D81"/>
    <w:rsid w:val="001842CE"/>
    <w:rsid w:val="0018617D"/>
    <w:rsid w:val="00186E5D"/>
    <w:rsid w:val="001879EE"/>
    <w:rsid w:val="00194A0D"/>
    <w:rsid w:val="0019645C"/>
    <w:rsid w:val="00196ABB"/>
    <w:rsid w:val="001A00AE"/>
    <w:rsid w:val="001A1452"/>
    <w:rsid w:val="001A3F81"/>
    <w:rsid w:val="001A41C5"/>
    <w:rsid w:val="001A54DD"/>
    <w:rsid w:val="001B0506"/>
    <w:rsid w:val="001B27CD"/>
    <w:rsid w:val="001B2951"/>
    <w:rsid w:val="001B2F3D"/>
    <w:rsid w:val="001B358B"/>
    <w:rsid w:val="001B392A"/>
    <w:rsid w:val="001B3F55"/>
    <w:rsid w:val="001B4893"/>
    <w:rsid w:val="001B58E0"/>
    <w:rsid w:val="001B59CC"/>
    <w:rsid w:val="001B691B"/>
    <w:rsid w:val="001B7325"/>
    <w:rsid w:val="001C033C"/>
    <w:rsid w:val="001C1482"/>
    <w:rsid w:val="001C17DA"/>
    <w:rsid w:val="001C1A7D"/>
    <w:rsid w:val="001C1CCE"/>
    <w:rsid w:val="001C1E2E"/>
    <w:rsid w:val="001C3306"/>
    <w:rsid w:val="001C46C8"/>
    <w:rsid w:val="001C59E0"/>
    <w:rsid w:val="001C5CE7"/>
    <w:rsid w:val="001C7557"/>
    <w:rsid w:val="001D0847"/>
    <w:rsid w:val="001D0B19"/>
    <w:rsid w:val="001D2C20"/>
    <w:rsid w:val="001D3081"/>
    <w:rsid w:val="001D3134"/>
    <w:rsid w:val="001D4238"/>
    <w:rsid w:val="001E3FC8"/>
    <w:rsid w:val="001E4816"/>
    <w:rsid w:val="001E7199"/>
    <w:rsid w:val="001E730E"/>
    <w:rsid w:val="001F056E"/>
    <w:rsid w:val="001F087F"/>
    <w:rsid w:val="001F20B7"/>
    <w:rsid w:val="001F2466"/>
    <w:rsid w:val="001F2752"/>
    <w:rsid w:val="001F5236"/>
    <w:rsid w:val="001F527C"/>
    <w:rsid w:val="001F6777"/>
    <w:rsid w:val="00201A06"/>
    <w:rsid w:val="00203182"/>
    <w:rsid w:val="00204158"/>
    <w:rsid w:val="002073FC"/>
    <w:rsid w:val="00207890"/>
    <w:rsid w:val="00207FE2"/>
    <w:rsid w:val="0021073C"/>
    <w:rsid w:val="00210DA8"/>
    <w:rsid w:val="00210EBB"/>
    <w:rsid w:val="002117C8"/>
    <w:rsid w:val="0021208E"/>
    <w:rsid w:val="00212289"/>
    <w:rsid w:val="0021283F"/>
    <w:rsid w:val="00213D60"/>
    <w:rsid w:val="0021426D"/>
    <w:rsid w:val="002159B6"/>
    <w:rsid w:val="00216212"/>
    <w:rsid w:val="00217325"/>
    <w:rsid w:val="002209F6"/>
    <w:rsid w:val="00220A2C"/>
    <w:rsid w:val="00221117"/>
    <w:rsid w:val="0022398C"/>
    <w:rsid w:val="00224671"/>
    <w:rsid w:val="00225928"/>
    <w:rsid w:val="00225ACC"/>
    <w:rsid w:val="002302A9"/>
    <w:rsid w:val="00230C68"/>
    <w:rsid w:val="00231916"/>
    <w:rsid w:val="00232153"/>
    <w:rsid w:val="002338D6"/>
    <w:rsid w:val="002341FD"/>
    <w:rsid w:val="00234708"/>
    <w:rsid w:val="00234AB7"/>
    <w:rsid w:val="00235904"/>
    <w:rsid w:val="00235919"/>
    <w:rsid w:val="00236898"/>
    <w:rsid w:val="00240F96"/>
    <w:rsid w:val="00241D17"/>
    <w:rsid w:val="00252E43"/>
    <w:rsid w:val="0025671E"/>
    <w:rsid w:val="002567EE"/>
    <w:rsid w:val="00257F58"/>
    <w:rsid w:val="0026252E"/>
    <w:rsid w:val="0026272A"/>
    <w:rsid w:val="00266C60"/>
    <w:rsid w:val="00266EBB"/>
    <w:rsid w:val="00266EFF"/>
    <w:rsid w:val="00267EC3"/>
    <w:rsid w:val="00270D3F"/>
    <w:rsid w:val="00272CD3"/>
    <w:rsid w:val="00273B1D"/>
    <w:rsid w:val="00274C2C"/>
    <w:rsid w:val="00275F4F"/>
    <w:rsid w:val="002768AF"/>
    <w:rsid w:val="00277A58"/>
    <w:rsid w:val="00281C4C"/>
    <w:rsid w:val="0028352D"/>
    <w:rsid w:val="00284C86"/>
    <w:rsid w:val="00292A64"/>
    <w:rsid w:val="0029346F"/>
    <w:rsid w:val="00293B81"/>
    <w:rsid w:val="002943F1"/>
    <w:rsid w:val="00295466"/>
    <w:rsid w:val="002967C3"/>
    <w:rsid w:val="00297F60"/>
    <w:rsid w:val="002A01BA"/>
    <w:rsid w:val="002A0665"/>
    <w:rsid w:val="002A1ABF"/>
    <w:rsid w:val="002A2055"/>
    <w:rsid w:val="002A304C"/>
    <w:rsid w:val="002A3273"/>
    <w:rsid w:val="002A3410"/>
    <w:rsid w:val="002A34B1"/>
    <w:rsid w:val="002A3CCE"/>
    <w:rsid w:val="002A47A1"/>
    <w:rsid w:val="002A47DE"/>
    <w:rsid w:val="002A5486"/>
    <w:rsid w:val="002A6DF6"/>
    <w:rsid w:val="002A7DA9"/>
    <w:rsid w:val="002B2F63"/>
    <w:rsid w:val="002B3F09"/>
    <w:rsid w:val="002B5643"/>
    <w:rsid w:val="002B739E"/>
    <w:rsid w:val="002B748D"/>
    <w:rsid w:val="002B7CE0"/>
    <w:rsid w:val="002C0155"/>
    <w:rsid w:val="002C10BF"/>
    <w:rsid w:val="002C2A5A"/>
    <w:rsid w:val="002C431B"/>
    <w:rsid w:val="002C51DB"/>
    <w:rsid w:val="002C6605"/>
    <w:rsid w:val="002C70A4"/>
    <w:rsid w:val="002D001F"/>
    <w:rsid w:val="002D0104"/>
    <w:rsid w:val="002D1151"/>
    <w:rsid w:val="002D1D6E"/>
    <w:rsid w:val="002D3E62"/>
    <w:rsid w:val="002D58BB"/>
    <w:rsid w:val="002D6709"/>
    <w:rsid w:val="002E005D"/>
    <w:rsid w:val="002E0307"/>
    <w:rsid w:val="002E1012"/>
    <w:rsid w:val="002E1AAB"/>
    <w:rsid w:val="002E22B1"/>
    <w:rsid w:val="002E2F6B"/>
    <w:rsid w:val="002E44F8"/>
    <w:rsid w:val="002E6B93"/>
    <w:rsid w:val="002E701F"/>
    <w:rsid w:val="002F36E0"/>
    <w:rsid w:val="002F59F3"/>
    <w:rsid w:val="002F6BF3"/>
    <w:rsid w:val="002F71BE"/>
    <w:rsid w:val="002F746F"/>
    <w:rsid w:val="00302960"/>
    <w:rsid w:val="0030374B"/>
    <w:rsid w:val="0030378D"/>
    <w:rsid w:val="0030499F"/>
    <w:rsid w:val="00304C4E"/>
    <w:rsid w:val="00304EF4"/>
    <w:rsid w:val="00306082"/>
    <w:rsid w:val="00307934"/>
    <w:rsid w:val="00311112"/>
    <w:rsid w:val="00312631"/>
    <w:rsid w:val="00312BDB"/>
    <w:rsid w:val="00312EA5"/>
    <w:rsid w:val="00313193"/>
    <w:rsid w:val="00313A0C"/>
    <w:rsid w:val="00314896"/>
    <w:rsid w:val="003154D6"/>
    <w:rsid w:val="003156BA"/>
    <w:rsid w:val="00316303"/>
    <w:rsid w:val="003163C2"/>
    <w:rsid w:val="00316525"/>
    <w:rsid w:val="0032153F"/>
    <w:rsid w:val="00321A92"/>
    <w:rsid w:val="0032283F"/>
    <w:rsid w:val="003258DF"/>
    <w:rsid w:val="003261FA"/>
    <w:rsid w:val="003279FB"/>
    <w:rsid w:val="00331E68"/>
    <w:rsid w:val="003332D3"/>
    <w:rsid w:val="00333CBD"/>
    <w:rsid w:val="00334F3B"/>
    <w:rsid w:val="00336EC2"/>
    <w:rsid w:val="0033792A"/>
    <w:rsid w:val="00340CDF"/>
    <w:rsid w:val="00341102"/>
    <w:rsid w:val="00341CD7"/>
    <w:rsid w:val="003420B1"/>
    <w:rsid w:val="00343131"/>
    <w:rsid w:val="00343979"/>
    <w:rsid w:val="00345008"/>
    <w:rsid w:val="00347915"/>
    <w:rsid w:val="0035038E"/>
    <w:rsid w:val="00352140"/>
    <w:rsid w:val="003526CF"/>
    <w:rsid w:val="003537D8"/>
    <w:rsid w:val="00355396"/>
    <w:rsid w:val="00355650"/>
    <w:rsid w:val="003569E0"/>
    <w:rsid w:val="00356E6B"/>
    <w:rsid w:val="003613D4"/>
    <w:rsid w:val="00361EB0"/>
    <w:rsid w:val="00362626"/>
    <w:rsid w:val="003626C1"/>
    <w:rsid w:val="003628F1"/>
    <w:rsid w:val="003630D7"/>
    <w:rsid w:val="00364CB2"/>
    <w:rsid w:val="003667D8"/>
    <w:rsid w:val="00366DA9"/>
    <w:rsid w:val="00370F10"/>
    <w:rsid w:val="003714E3"/>
    <w:rsid w:val="003725CE"/>
    <w:rsid w:val="003725E0"/>
    <w:rsid w:val="0037310B"/>
    <w:rsid w:val="003767E3"/>
    <w:rsid w:val="0037723E"/>
    <w:rsid w:val="003806C8"/>
    <w:rsid w:val="0038081F"/>
    <w:rsid w:val="00380D68"/>
    <w:rsid w:val="0038107A"/>
    <w:rsid w:val="00382659"/>
    <w:rsid w:val="00383149"/>
    <w:rsid w:val="00384C81"/>
    <w:rsid w:val="00385B63"/>
    <w:rsid w:val="00385F7E"/>
    <w:rsid w:val="00386B87"/>
    <w:rsid w:val="00387631"/>
    <w:rsid w:val="003876EE"/>
    <w:rsid w:val="0038778E"/>
    <w:rsid w:val="00387C20"/>
    <w:rsid w:val="00387E95"/>
    <w:rsid w:val="0039005C"/>
    <w:rsid w:val="0039074C"/>
    <w:rsid w:val="00390A0A"/>
    <w:rsid w:val="00391D1D"/>
    <w:rsid w:val="003930EB"/>
    <w:rsid w:val="003953D3"/>
    <w:rsid w:val="00395D38"/>
    <w:rsid w:val="003975AA"/>
    <w:rsid w:val="00397DFD"/>
    <w:rsid w:val="003A3059"/>
    <w:rsid w:val="003A48D9"/>
    <w:rsid w:val="003A50E2"/>
    <w:rsid w:val="003A5D99"/>
    <w:rsid w:val="003A6FD1"/>
    <w:rsid w:val="003B0849"/>
    <w:rsid w:val="003B08AF"/>
    <w:rsid w:val="003B20A2"/>
    <w:rsid w:val="003B29A9"/>
    <w:rsid w:val="003B2CEC"/>
    <w:rsid w:val="003B44B5"/>
    <w:rsid w:val="003B4DF4"/>
    <w:rsid w:val="003B52A5"/>
    <w:rsid w:val="003B542D"/>
    <w:rsid w:val="003B61CC"/>
    <w:rsid w:val="003B6DE1"/>
    <w:rsid w:val="003B7651"/>
    <w:rsid w:val="003B7738"/>
    <w:rsid w:val="003B7BAF"/>
    <w:rsid w:val="003B7F4E"/>
    <w:rsid w:val="003C19C2"/>
    <w:rsid w:val="003C4E87"/>
    <w:rsid w:val="003C5014"/>
    <w:rsid w:val="003C6C98"/>
    <w:rsid w:val="003C71CE"/>
    <w:rsid w:val="003C7A15"/>
    <w:rsid w:val="003C7AFE"/>
    <w:rsid w:val="003D1A70"/>
    <w:rsid w:val="003D1FE6"/>
    <w:rsid w:val="003D3001"/>
    <w:rsid w:val="003D4D16"/>
    <w:rsid w:val="003D4D84"/>
    <w:rsid w:val="003D620E"/>
    <w:rsid w:val="003D7AF9"/>
    <w:rsid w:val="003E0970"/>
    <w:rsid w:val="003E1500"/>
    <w:rsid w:val="003E169E"/>
    <w:rsid w:val="003E1D25"/>
    <w:rsid w:val="003E3DC4"/>
    <w:rsid w:val="003E4227"/>
    <w:rsid w:val="003E427B"/>
    <w:rsid w:val="003E4954"/>
    <w:rsid w:val="003E4961"/>
    <w:rsid w:val="003E71A9"/>
    <w:rsid w:val="003E7F3F"/>
    <w:rsid w:val="003F00AD"/>
    <w:rsid w:val="003F0DFE"/>
    <w:rsid w:val="003F2533"/>
    <w:rsid w:val="003F60AE"/>
    <w:rsid w:val="003F650C"/>
    <w:rsid w:val="003F698A"/>
    <w:rsid w:val="003F7BD5"/>
    <w:rsid w:val="004014E6"/>
    <w:rsid w:val="00402369"/>
    <w:rsid w:val="00403D20"/>
    <w:rsid w:val="00406414"/>
    <w:rsid w:val="00407A32"/>
    <w:rsid w:val="0041073D"/>
    <w:rsid w:val="00410A2D"/>
    <w:rsid w:val="00410C16"/>
    <w:rsid w:val="00411D4A"/>
    <w:rsid w:val="00412BB1"/>
    <w:rsid w:val="004173E4"/>
    <w:rsid w:val="00417DF6"/>
    <w:rsid w:val="00421071"/>
    <w:rsid w:val="00421228"/>
    <w:rsid w:val="00422758"/>
    <w:rsid w:val="00425642"/>
    <w:rsid w:val="00425965"/>
    <w:rsid w:val="004266A9"/>
    <w:rsid w:val="00426795"/>
    <w:rsid w:val="00426F42"/>
    <w:rsid w:val="004307D8"/>
    <w:rsid w:val="004308CD"/>
    <w:rsid w:val="00431972"/>
    <w:rsid w:val="0043506F"/>
    <w:rsid w:val="00435C83"/>
    <w:rsid w:val="00436269"/>
    <w:rsid w:val="00437638"/>
    <w:rsid w:val="004376C9"/>
    <w:rsid w:val="00437A8F"/>
    <w:rsid w:val="00437CB5"/>
    <w:rsid w:val="00440C81"/>
    <w:rsid w:val="0044198D"/>
    <w:rsid w:val="00442894"/>
    <w:rsid w:val="0044398B"/>
    <w:rsid w:val="00443F26"/>
    <w:rsid w:val="004441DB"/>
    <w:rsid w:val="00445AD1"/>
    <w:rsid w:val="00445F2E"/>
    <w:rsid w:val="00453E1C"/>
    <w:rsid w:val="0045427B"/>
    <w:rsid w:val="00454C47"/>
    <w:rsid w:val="004575BB"/>
    <w:rsid w:val="00457BCA"/>
    <w:rsid w:val="00460857"/>
    <w:rsid w:val="00461126"/>
    <w:rsid w:val="00461398"/>
    <w:rsid w:val="0046237A"/>
    <w:rsid w:val="00462C7B"/>
    <w:rsid w:val="00463310"/>
    <w:rsid w:val="00463F13"/>
    <w:rsid w:val="00464302"/>
    <w:rsid w:val="0046432A"/>
    <w:rsid w:val="00465268"/>
    <w:rsid w:val="0046704C"/>
    <w:rsid w:val="004725B4"/>
    <w:rsid w:val="00472E64"/>
    <w:rsid w:val="00480E3E"/>
    <w:rsid w:val="00481676"/>
    <w:rsid w:val="004818A2"/>
    <w:rsid w:val="00481F4C"/>
    <w:rsid w:val="00481F57"/>
    <w:rsid w:val="004829CD"/>
    <w:rsid w:val="00485579"/>
    <w:rsid w:val="004861FD"/>
    <w:rsid w:val="0048643F"/>
    <w:rsid w:val="004873EF"/>
    <w:rsid w:val="004877E7"/>
    <w:rsid w:val="0049590F"/>
    <w:rsid w:val="00496132"/>
    <w:rsid w:val="00496468"/>
    <w:rsid w:val="00497550"/>
    <w:rsid w:val="00497D51"/>
    <w:rsid w:val="004A01FC"/>
    <w:rsid w:val="004A11F9"/>
    <w:rsid w:val="004A3F58"/>
    <w:rsid w:val="004A3F8A"/>
    <w:rsid w:val="004A491C"/>
    <w:rsid w:val="004A52EA"/>
    <w:rsid w:val="004A5710"/>
    <w:rsid w:val="004B0AC2"/>
    <w:rsid w:val="004B6279"/>
    <w:rsid w:val="004B688F"/>
    <w:rsid w:val="004B7E37"/>
    <w:rsid w:val="004C1C8E"/>
    <w:rsid w:val="004C2F8A"/>
    <w:rsid w:val="004C3E96"/>
    <w:rsid w:val="004C4182"/>
    <w:rsid w:val="004C4415"/>
    <w:rsid w:val="004C4783"/>
    <w:rsid w:val="004C6589"/>
    <w:rsid w:val="004C7178"/>
    <w:rsid w:val="004C73AF"/>
    <w:rsid w:val="004C750A"/>
    <w:rsid w:val="004C7FA1"/>
    <w:rsid w:val="004D6497"/>
    <w:rsid w:val="004D676C"/>
    <w:rsid w:val="004D75A1"/>
    <w:rsid w:val="004D79DC"/>
    <w:rsid w:val="004E0F07"/>
    <w:rsid w:val="004E10BC"/>
    <w:rsid w:val="004E125B"/>
    <w:rsid w:val="004E13E3"/>
    <w:rsid w:val="004E3BB7"/>
    <w:rsid w:val="004E49C5"/>
    <w:rsid w:val="004E57E1"/>
    <w:rsid w:val="004E635A"/>
    <w:rsid w:val="004E65F4"/>
    <w:rsid w:val="004E6654"/>
    <w:rsid w:val="004E74A2"/>
    <w:rsid w:val="004F1C73"/>
    <w:rsid w:val="004F1F48"/>
    <w:rsid w:val="004F4EE2"/>
    <w:rsid w:val="004F551A"/>
    <w:rsid w:val="004F5A9E"/>
    <w:rsid w:val="004F5D1E"/>
    <w:rsid w:val="004F62AB"/>
    <w:rsid w:val="004F73D0"/>
    <w:rsid w:val="004F7D94"/>
    <w:rsid w:val="00500122"/>
    <w:rsid w:val="00500DBC"/>
    <w:rsid w:val="00504511"/>
    <w:rsid w:val="005045FB"/>
    <w:rsid w:val="005049E9"/>
    <w:rsid w:val="00504C08"/>
    <w:rsid w:val="00504FD0"/>
    <w:rsid w:val="00505FCD"/>
    <w:rsid w:val="005070D7"/>
    <w:rsid w:val="0050788B"/>
    <w:rsid w:val="00511C3C"/>
    <w:rsid w:val="005129F6"/>
    <w:rsid w:val="00513C36"/>
    <w:rsid w:val="00515E93"/>
    <w:rsid w:val="00517F8F"/>
    <w:rsid w:val="00520426"/>
    <w:rsid w:val="005223FE"/>
    <w:rsid w:val="005244DE"/>
    <w:rsid w:val="0052456F"/>
    <w:rsid w:val="0052577F"/>
    <w:rsid w:val="00525AB4"/>
    <w:rsid w:val="005278C5"/>
    <w:rsid w:val="00527EA6"/>
    <w:rsid w:val="00527F39"/>
    <w:rsid w:val="00530506"/>
    <w:rsid w:val="00532F59"/>
    <w:rsid w:val="00534D90"/>
    <w:rsid w:val="00535E6F"/>
    <w:rsid w:val="00542C3C"/>
    <w:rsid w:val="0054499B"/>
    <w:rsid w:val="00545D99"/>
    <w:rsid w:val="00545F64"/>
    <w:rsid w:val="005461FA"/>
    <w:rsid w:val="00547CBC"/>
    <w:rsid w:val="00550BC8"/>
    <w:rsid w:val="00551A71"/>
    <w:rsid w:val="00552812"/>
    <w:rsid w:val="00553261"/>
    <w:rsid w:val="00554917"/>
    <w:rsid w:val="005554DC"/>
    <w:rsid w:val="00561622"/>
    <w:rsid w:val="00561F99"/>
    <w:rsid w:val="00562234"/>
    <w:rsid w:val="00565A6B"/>
    <w:rsid w:val="00566978"/>
    <w:rsid w:val="005671A7"/>
    <w:rsid w:val="00572181"/>
    <w:rsid w:val="005734B3"/>
    <w:rsid w:val="00573B11"/>
    <w:rsid w:val="0057565C"/>
    <w:rsid w:val="00580F4A"/>
    <w:rsid w:val="00581029"/>
    <w:rsid w:val="00582861"/>
    <w:rsid w:val="0058312A"/>
    <w:rsid w:val="00585059"/>
    <w:rsid w:val="00586143"/>
    <w:rsid w:val="00586E6D"/>
    <w:rsid w:val="0058750B"/>
    <w:rsid w:val="0059027C"/>
    <w:rsid w:val="0059314A"/>
    <w:rsid w:val="00593ADF"/>
    <w:rsid w:val="00594474"/>
    <w:rsid w:val="0059456E"/>
    <w:rsid w:val="00595D10"/>
    <w:rsid w:val="005971AB"/>
    <w:rsid w:val="005A1034"/>
    <w:rsid w:val="005A1378"/>
    <w:rsid w:val="005A2FFB"/>
    <w:rsid w:val="005A3A06"/>
    <w:rsid w:val="005A5DC0"/>
    <w:rsid w:val="005A60A0"/>
    <w:rsid w:val="005A6833"/>
    <w:rsid w:val="005A7D48"/>
    <w:rsid w:val="005B02D5"/>
    <w:rsid w:val="005B0734"/>
    <w:rsid w:val="005B2AFC"/>
    <w:rsid w:val="005B3822"/>
    <w:rsid w:val="005B629C"/>
    <w:rsid w:val="005C007B"/>
    <w:rsid w:val="005C0191"/>
    <w:rsid w:val="005C1DC8"/>
    <w:rsid w:val="005C206B"/>
    <w:rsid w:val="005C7492"/>
    <w:rsid w:val="005C78B1"/>
    <w:rsid w:val="005D1607"/>
    <w:rsid w:val="005D1F67"/>
    <w:rsid w:val="005D2BE9"/>
    <w:rsid w:val="005D2CEF"/>
    <w:rsid w:val="005D2F87"/>
    <w:rsid w:val="005D3AD2"/>
    <w:rsid w:val="005D4C4B"/>
    <w:rsid w:val="005D550F"/>
    <w:rsid w:val="005D5E46"/>
    <w:rsid w:val="005E0EA7"/>
    <w:rsid w:val="005E1207"/>
    <w:rsid w:val="005E3B00"/>
    <w:rsid w:val="005E5759"/>
    <w:rsid w:val="005E7FBE"/>
    <w:rsid w:val="005F0412"/>
    <w:rsid w:val="005F4B80"/>
    <w:rsid w:val="005F4DBA"/>
    <w:rsid w:val="005F6D64"/>
    <w:rsid w:val="005F7C0B"/>
    <w:rsid w:val="005F7EF7"/>
    <w:rsid w:val="005F7F44"/>
    <w:rsid w:val="00600122"/>
    <w:rsid w:val="006006AF"/>
    <w:rsid w:val="0060123B"/>
    <w:rsid w:val="00604893"/>
    <w:rsid w:val="00605559"/>
    <w:rsid w:val="00606805"/>
    <w:rsid w:val="00606F75"/>
    <w:rsid w:val="0061119C"/>
    <w:rsid w:val="0061241E"/>
    <w:rsid w:val="006146B3"/>
    <w:rsid w:val="00614850"/>
    <w:rsid w:val="00614FDB"/>
    <w:rsid w:val="00615674"/>
    <w:rsid w:val="006167B7"/>
    <w:rsid w:val="0062189C"/>
    <w:rsid w:val="00624EC2"/>
    <w:rsid w:val="00625CCB"/>
    <w:rsid w:val="00626AA0"/>
    <w:rsid w:val="00626B09"/>
    <w:rsid w:val="006300A0"/>
    <w:rsid w:val="00630169"/>
    <w:rsid w:val="00630E04"/>
    <w:rsid w:val="006319A8"/>
    <w:rsid w:val="00631B9C"/>
    <w:rsid w:val="00632417"/>
    <w:rsid w:val="006327CF"/>
    <w:rsid w:val="00632918"/>
    <w:rsid w:val="00637C95"/>
    <w:rsid w:val="0063B818"/>
    <w:rsid w:val="00640672"/>
    <w:rsid w:val="00640EC9"/>
    <w:rsid w:val="006418B4"/>
    <w:rsid w:val="006423DF"/>
    <w:rsid w:val="006425EB"/>
    <w:rsid w:val="00646467"/>
    <w:rsid w:val="0064654F"/>
    <w:rsid w:val="00646AB2"/>
    <w:rsid w:val="00647797"/>
    <w:rsid w:val="006523E2"/>
    <w:rsid w:val="00652513"/>
    <w:rsid w:val="0065310D"/>
    <w:rsid w:val="00653DF0"/>
    <w:rsid w:val="006549F8"/>
    <w:rsid w:val="00656819"/>
    <w:rsid w:val="00657C22"/>
    <w:rsid w:val="00662048"/>
    <w:rsid w:val="00662306"/>
    <w:rsid w:val="006625FE"/>
    <w:rsid w:val="0066733F"/>
    <w:rsid w:val="00667409"/>
    <w:rsid w:val="006677C5"/>
    <w:rsid w:val="00670600"/>
    <w:rsid w:val="00670A22"/>
    <w:rsid w:val="0067341F"/>
    <w:rsid w:val="00675E1B"/>
    <w:rsid w:val="00676253"/>
    <w:rsid w:val="006774F9"/>
    <w:rsid w:val="00680341"/>
    <w:rsid w:val="0068142B"/>
    <w:rsid w:val="00681829"/>
    <w:rsid w:val="0068215F"/>
    <w:rsid w:val="00683D28"/>
    <w:rsid w:val="00687B12"/>
    <w:rsid w:val="00690FF1"/>
    <w:rsid w:val="006923E8"/>
    <w:rsid w:val="00693C69"/>
    <w:rsid w:val="00694117"/>
    <w:rsid w:val="00695828"/>
    <w:rsid w:val="006959C0"/>
    <w:rsid w:val="00695E17"/>
    <w:rsid w:val="00696EA9"/>
    <w:rsid w:val="006A0794"/>
    <w:rsid w:val="006A1840"/>
    <w:rsid w:val="006A2D71"/>
    <w:rsid w:val="006A358C"/>
    <w:rsid w:val="006A3F7A"/>
    <w:rsid w:val="006A48FB"/>
    <w:rsid w:val="006A5DBB"/>
    <w:rsid w:val="006B00AE"/>
    <w:rsid w:val="006B0C0F"/>
    <w:rsid w:val="006B0F91"/>
    <w:rsid w:val="006B2FA5"/>
    <w:rsid w:val="006B3428"/>
    <w:rsid w:val="006B4542"/>
    <w:rsid w:val="006B4819"/>
    <w:rsid w:val="006B4E93"/>
    <w:rsid w:val="006B4FAB"/>
    <w:rsid w:val="006B63E1"/>
    <w:rsid w:val="006B6573"/>
    <w:rsid w:val="006B7236"/>
    <w:rsid w:val="006C1486"/>
    <w:rsid w:val="006C30B7"/>
    <w:rsid w:val="006C3302"/>
    <w:rsid w:val="006C4480"/>
    <w:rsid w:val="006C474B"/>
    <w:rsid w:val="006C5200"/>
    <w:rsid w:val="006C6672"/>
    <w:rsid w:val="006C7665"/>
    <w:rsid w:val="006C7EE7"/>
    <w:rsid w:val="006D3731"/>
    <w:rsid w:val="006D3C0E"/>
    <w:rsid w:val="006D3C9F"/>
    <w:rsid w:val="006D3FD5"/>
    <w:rsid w:val="006D4ED8"/>
    <w:rsid w:val="006D6AD4"/>
    <w:rsid w:val="006D6E0F"/>
    <w:rsid w:val="006D7649"/>
    <w:rsid w:val="006E16A4"/>
    <w:rsid w:val="006E2DB3"/>
    <w:rsid w:val="006E2E94"/>
    <w:rsid w:val="006E5700"/>
    <w:rsid w:val="006E5930"/>
    <w:rsid w:val="006E5B37"/>
    <w:rsid w:val="006F0358"/>
    <w:rsid w:val="006F0864"/>
    <w:rsid w:val="006F17BE"/>
    <w:rsid w:val="006F29B4"/>
    <w:rsid w:val="006F4002"/>
    <w:rsid w:val="00701056"/>
    <w:rsid w:val="00701742"/>
    <w:rsid w:val="00701923"/>
    <w:rsid w:val="0070499E"/>
    <w:rsid w:val="00704B93"/>
    <w:rsid w:val="00704FF0"/>
    <w:rsid w:val="00710250"/>
    <w:rsid w:val="007105C4"/>
    <w:rsid w:val="0071094F"/>
    <w:rsid w:val="00711560"/>
    <w:rsid w:val="00712F81"/>
    <w:rsid w:val="00712FD6"/>
    <w:rsid w:val="0071317C"/>
    <w:rsid w:val="00713A61"/>
    <w:rsid w:val="00713B79"/>
    <w:rsid w:val="00715B23"/>
    <w:rsid w:val="00716580"/>
    <w:rsid w:val="0071742B"/>
    <w:rsid w:val="00720209"/>
    <w:rsid w:val="00720216"/>
    <w:rsid w:val="00720EF3"/>
    <w:rsid w:val="00721BE8"/>
    <w:rsid w:val="00721F14"/>
    <w:rsid w:val="007251EB"/>
    <w:rsid w:val="00725510"/>
    <w:rsid w:val="00725578"/>
    <w:rsid w:val="00726216"/>
    <w:rsid w:val="00726B23"/>
    <w:rsid w:val="007271FF"/>
    <w:rsid w:val="00727367"/>
    <w:rsid w:val="007273B9"/>
    <w:rsid w:val="007315E2"/>
    <w:rsid w:val="00731DFD"/>
    <w:rsid w:val="007334DF"/>
    <w:rsid w:val="00733888"/>
    <w:rsid w:val="0073467D"/>
    <w:rsid w:val="00735DD9"/>
    <w:rsid w:val="0074046D"/>
    <w:rsid w:val="00743287"/>
    <w:rsid w:val="00743ABA"/>
    <w:rsid w:val="00743B2E"/>
    <w:rsid w:val="00744814"/>
    <w:rsid w:val="00746360"/>
    <w:rsid w:val="00752870"/>
    <w:rsid w:val="007536C5"/>
    <w:rsid w:val="00754763"/>
    <w:rsid w:val="007575BB"/>
    <w:rsid w:val="007575F2"/>
    <w:rsid w:val="00757974"/>
    <w:rsid w:val="00761C57"/>
    <w:rsid w:val="007629D4"/>
    <w:rsid w:val="00762CF9"/>
    <w:rsid w:val="007653CA"/>
    <w:rsid w:val="00765929"/>
    <w:rsid w:val="007704D9"/>
    <w:rsid w:val="00770D92"/>
    <w:rsid w:val="00771E39"/>
    <w:rsid w:val="00772AF4"/>
    <w:rsid w:val="00773AFF"/>
    <w:rsid w:val="00773DC4"/>
    <w:rsid w:val="0077419B"/>
    <w:rsid w:val="0077560A"/>
    <w:rsid w:val="00775692"/>
    <w:rsid w:val="00775F6A"/>
    <w:rsid w:val="0077772A"/>
    <w:rsid w:val="00780429"/>
    <w:rsid w:val="007808D6"/>
    <w:rsid w:val="0078270B"/>
    <w:rsid w:val="00782DD3"/>
    <w:rsid w:val="00784E24"/>
    <w:rsid w:val="00787281"/>
    <w:rsid w:val="00787E4A"/>
    <w:rsid w:val="00791463"/>
    <w:rsid w:val="0079234E"/>
    <w:rsid w:val="0079246E"/>
    <w:rsid w:val="007934BD"/>
    <w:rsid w:val="007939D4"/>
    <w:rsid w:val="0079438C"/>
    <w:rsid w:val="00794AB4"/>
    <w:rsid w:val="00795CCC"/>
    <w:rsid w:val="00795DC4"/>
    <w:rsid w:val="007964C2"/>
    <w:rsid w:val="00796E79"/>
    <w:rsid w:val="007978A8"/>
    <w:rsid w:val="007A0993"/>
    <w:rsid w:val="007A09F9"/>
    <w:rsid w:val="007A0D40"/>
    <w:rsid w:val="007A0F9C"/>
    <w:rsid w:val="007A110C"/>
    <w:rsid w:val="007A1C18"/>
    <w:rsid w:val="007A3311"/>
    <w:rsid w:val="007A35C4"/>
    <w:rsid w:val="007A37D5"/>
    <w:rsid w:val="007A4D00"/>
    <w:rsid w:val="007A5C3C"/>
    <w:rsid w:val="007A7FFE"/>
    <w:rsid w:val="007B143E"/>
    <w:rsid w:val="007B2F05"/>
    <w:rsid w:val="007B35BB"/>
    <w:rsid w:val="007B3C5D"/>
    <w:rsid w:val="007B43F9"/>
    <w:rsid w:val="007B450C"/>
    <w:rsid w:val="007B4902"/>
    <w:rsid w:val="007B5442"/>
    <w:rsid w:val="007B6B19"/>
    <w:rsid w:val="007B778C"/>
    <w:rsid w:val="007C0053"/>
    <w:rsid w:val="007C16D6"/>
    <w:rsid w:val="007C1BA0"/>
    <w:rsid w:val="007C23EA"/>
    <w:rsid w:val="007C2760"/>
    <w:rsid w:val="007C286C"/>
    <w:rsid w:val="007C4C31"/>
    <w:rsid w:val="007C4C42"/>
    <w:rsid w:val="007C59D9"/>
    <w:rsid w:val="007D040A"/>
    <w:rsid w:val="007D0BDD"/>
    <w:rsid w:val="007D10B3"/>
    <w:rsid w:val="007D2069"/>
    <w:rsid w:val="007D4956"/>
    <w:rsid w:val="007D4D76"/>
    <w:rsid w:val="007D55AF"/>
    <w:rsid w:val="007D5607"/>
    <w:rsid w:val="007D6466"/>
    <w:rsid w:val="007D6FAF"/>
    <w:rsid w:val="007D7F77"/>
    <w:rsid w:val="007E0156"/>
    <w:rsid w:val="007E1760"/>
    <w:rsid w:val="007E18D8"/>
    <w:rsid w:val="007E1A68"/>
    <w:rsid w:val="007E29A1"/>
    <w:rsid w:val="007E2B99"/>
    <w:rsid w:val="007E4C03"/>
    <w:rsid w:val="007E5EED"/>
    <w:rsid w:val="007E5F92"/>
    <w:rsid w:val="007E7384"/>
    <w:rsid w:val="007E76D9"/>
    <w:rsid w:val="007F03DC"/>
    <w:rsid w:val="007F115A"/>
    <w:rsid w:val="007F251D"/>
    <w:rsid w:val="007F3934"/>
    <w:rsid w:val="007F4471"/>
    <w:rsid w:val="007F46F5"/>
    <w:rsid w:val="007F5491"/>
    <w:rsid w:val="007F6F91"/>
    <w:rsid w:val="007F768D"/>
    <w:rsid w:val="007F78D8"/>
    <w:rsid w:val="00801A29"/>
    <w:rsid w:val="00801FC9"/>
    <w:rsid w:val="00802778"/>
    <w:rsid w:val="0080358C"/>
    <w:rsid w:val="00803B02"/>
    <w:rsid w:val="00804376"/>
    <w:rsid w:val="00804942"/>
    <w:rsid w:val="00806FF3"/>
    <w:rsid w:val="00807109"/>
    <w:rsid w:val="00807578"/>
    <w:rsid w:val="00807C1E"/>
    <w:rsid w:val="00807EB6"/>
    <w:rsid w:val="00811B00"/>
    <w:rsid w:val="00811E1C"/>
    <w:rsid w:val="008120F4"/>
    <w:rsid w:val="00813F65"/>
    <w:rsid w:val="008142F5"/>
    <w:rsid w:val="00814357"/>
    <w:rsid w:val="00816216"/>
    <w:rsid w:val="00817239"/>
    <w:rsid w:val="00817444"/>
    <w:rsid w:val="008201C7"/>
    <w:rsid w:val="00820605"/>
    <w:rsid w:val="00822789"/>
    <w:rsid w:val="00823A28"/>
    <w:rsid w:val="00824BE1"/>
    <w:rsid w:val="00825C79"/>
    <w:rsid w:val="0082777E"/>
    <w:rsid w:val="008301F2"/>
    <w:rsid w:val="00831270"/>
    <w:rsid w:val="00832005"/>
    <w:rsid w:val="008321AD"/>
    <w:rsid w:val="0083222D"/>
    <w:rsid w:val="008325BC"/>
    <w:rsid w:val="00832756"/>
    <w:rsid w:val="00832AE8"/>
    <w:rsid w:val="00832B11"/>
    <w:rsid w:val="008332F6"/>
    <w:rsid w:val="0083330A"/>
    <w:rsid w:val="008340D1"/>
    <w:rsid w:val="008342B4"/>
    <w:rsid w:val="0083638B"/>
    <w:rsid w:val="008369EF"/>
    <w:rsid w:val="008408D0"/>
    <w:rsid w:val="00842253"/>
    <w:rsid w:val="0084358A"/>
    <w:rsid w:val="00846328"/>
    <w:rsid w:val="00846E8A"/>
    <w:rsid w:val="008504B5"/>
    <w:rsid w:val="00850515"/>
    <w:rsid w:val="008510E2"/>
    <w:rsid w:val="00851CF6"/>
    <w:rsid w:val="00852624"/>
    <w:rsid w:val="00852826"/>
    <w:rsid w:val="00852C75"/>
    <w:rsid w:val="00854688"/>
    <w:rsid w:val="00854781"/>
    <w:rsid w:val="008573AC"/>
    <w:rsid w:val="00857A94"/>
    <w:rsid w:val="00857F6D"/>
    <w:rsid w:val="00860524"/>
    <w:rsid w:val="00860ACA"/>
    <w:rsid w:val="00860B49"/>
    <w:rsid w:val="008618D9"/>
    <w:rsid w:val="0086483C"/>
    <w:rsid w:val="00866E7B"/>
    <w:rsid w:val="00867CE4"/>
    <w:rsid w:val="00870400"/>
    <w:rsid w:val="00873384"/>
    <w:rsid w:val="008733DB"/>
    <w:rsid w:val="008734E6"/>
    <w:rsid w:val="00874AA7"/>
    <w:rsid w:val="00874DB6"/>
    <w:rsid w:val="00874E90"/>
    <w:rsid w:val="008751B9"/>
    <w:rsid w:val="00875FB3"/>
    <w:rsid w:val="00876897"/>
    <w:rsid w:val="00876E6E"/>
    <w:rsid w:val="00880172"/>
    <w:rsid w:val="00881D7D"/>
    <w:rsid w:val="008847B9"/>
    <w:rsid w:val="008879E1"/>
    <w:rsid w:val="008900EA"/>
    <w:rsid w:val="008902D7"/>
    <w:rsid w:val="0089081D"/>
    <w:rsid w:val="00895CCC"/>
    <w:rsid w:val="00895E0E"/>
    <w:rsid w:val="00895E19"/>
    <w:rsid w:val="00896FA9"/>
    <w:rsid w:val="00897F68"/>
    <w:rsid w:val="008A30B1"/>
    <w:rsid w:val="008A5B35"/>
    <w:rsid w:val="008A5E6B"/>
    <w:rsid w:val="008A6636"/>
    <w:rsid w:val="008A671F"/>
    <w:rsid w:val="008A6879"/>
    <w:rsid w:val="008A69CC"/>
    <w:rsid w:val="008B0549"/>
    <w:rsid w:val="008B2CC2"/>
    <w:rsid w:val="008B3C77"/>
    <w:rsid w:val="008B3CB3"/>
    <w:rsid w:val="008B4D60"/>
    <w:rsid w:val="008B5130"/>
    <w:rsid w:val="008B59FD"/>
    <w:rsid w:val="008B66FC"/>
    <w:rsid w:val="008C0599"/>
    <w:rsid w:val="008C0737"/>
    <w:rsid w:val="008C182A"/>
    <w:rsid w:val="008C2B27"/>
    <w:rsid w:val="008C2EB6"/>
    <w:rsid w:val="008C3B4B"/>
    <w:rsid w:val="008C5324"/>
    <w:rsid w:val="008C66C6"/>
    <w:rsid w:val="008C7BC9"/>
    <w:rsid w:val="008D0AAF"/>
    <w:rsid w:val="008D62CC"/>
    <w:rsid w:val="008D791D"/>
    <w:rsid w:val="008E09CC"/>
    <w:rsid w:val="008E103E"/>
    <w:rsid w:val="008E1561"/>
    <w:rsid w:val="008E24A7"/>
    <w:rsid w:val="008E29FD"/>
    <w:rsid w:val="008E3675"/>
    <w:rsid w:val="008E561D"/>
    <w:rsid w:val="008E728A"/>
    <w:rsid w:val="008F323F"/>
    <w:rsid w:val="008F336A"/>
    <w:rsid w:val="008F362A"/>
    <w:rsid w:val="008F37D4"/>
    <w:rsid w:val="008F44A2"/>
    <w:rsid w:val="008F5FD8"/>
    <w:rsid w:val="00900616"/>
    <w:rsid w:val="00900639"/>
    <w:rsid w:val="00900CB5"/>
    <w:rsid w:val="00901008"/>
    <w:rsid w:val="00903F17"/>
    <w:rsid w:val="00904502"/>
    <w:rsid w:val="00906A72"/>
    <w:rsid w:val="00906F2F"/>
    <w:rsid w:val="009070C7"/>
    <w:rsid w:val="0090739A"/>
    <w:rsid w:val="00912668"/>
    <w:rsid w:val="0091406A"/>
    <w:rsid w:val="009155B7"/>
    <w:rsid w:val="00915EFF"/>
    <w:rsid w:val="00916CF1"/>
    <w:rsid w:val="009173BA"/>
    <w:rsid w:val="00917E0E"/>
    <w:rsid w:val="00921712"/>
    <w:rsid w:val="00921E96"/>
    <w:rsid w:val="00922493"/>
    <w:rsid w:val="0092289D"/>
    <w:rsid w:val="00922D1A"/>
    <w:rsid w:val="009248FD"/>
    <w:rsid w:val="00924A43"/>
    <w:rsid w:val="00927B15"/>
    <w:rsid w:val="00930962"/>
    <w:rsid w:val="009333BA"/>
    <w:rsid w:val="00933D18"/>
    <w:rsid w:val="00934099"/>
    <w:rsid w:val="0093538F"/>
    <w:rsid w:val="0093608D"/>
    <w:rsid w:val="00936FC1"/>
    <w:rsid w:val="00940B9A"/>
    <w:rsid w:val="00942D86"/>
    <w:rsid w:val="00943A89"/>
    <w:rsid w:val="00944EE4"/>
    <w:rsid w:val="009455A2"/>
    <w:rsid w:val="009469F1"/>
    <w:rsid w:val="009500E4"/>
    <w:rsid w:val="00951F31"/>
    <w:rsid w:val="00952899"/>
    <w:rsid w:val="00954F72"/>
    <w:rsid w:val="009550D1"/>
    <w:rsid w:val="009552A4"/>
    <w:rsid w:val="00955F03"/>
    <w:rsid w:val="00955F5E"/>
    <w:rsid w:val="00957B9D"/>
    <w:rsid w:val="00960EA2"/>
    <w:rsid w:val="00962587"/>
    <w:rsid w:val="00962770"/>
    <w:rsid w:val="00964235"/>
    <w:rsid w:val="0096426F"/>
    <w:rsid w:val="009642E3"/>
    <w:rsid w:val="00964B2C"/>
    <w:rsid w:val="00964CC8"/>
    <w:rsid w:val="00964D12"/>
    <w:rsid w:val="00965EF3"/>
    <w:rsid w:val="009666F7"/>
    <w:rsid w:val="009677D3"/>
    <w:rsid w:val="009678E7"/>
    <w:rsid w:val="0097145E"/>
    <w:rsid w:val="00972418"/>
    <w:rsid w:val="0097287E"/>
    <w:rsid w:val="00973D6D"/>
    <w:rsid w:val="00974B65"/>
    <w:rsid w:val="009755B2"/>
    <w:rsid w:val="0098111B"/>
    <w:rsid w:val="009823DE"/>
    <w:rsid w:val="009832DC"/>
    <w:rsid w:val="00983346"/>
    <w:rsid w:val="00983EA1"/>
    <w:rsid w:val="00983FDA"/>
    <w:rsid w:val="00984A65"/>
    <w:rsid w:val="00984B84"/>
    <w:rsid w:val="00985AC4"/>
    <w:rsid w:val="00985B14"/>
    <w:rsid w:val="0099082F"/>
    <w:rsid w:val="00991B42"/>
    <w:rsid w:val="00992A9C"/>
    <w:rsid w:val="009937EE"/>
    <w:rsid w:val="00993C7F"/>
    <w:rsid w:val="00994280"/>
    <w:rsid w:val="00996257"/>
    <w:rsid w:val="00996D40"/>
    <w:rsid w:val="00997869"/>
    <w:rsid w:val="009A1679"/>
    <w:rsid w:val="009A1BCD"/>
    <w:rsid w:val="009A222C"/>
    <w:rsid w:val="009A3A47"/>
    <w:rsid w:val="009A5206"/>
    <w:rsid w:val="009A5665"/>
    <w:rsid w:val="009B027B"/>
    <w:rsid w:val="009B12A3"/>
    <w:rsid w:val="009B377E"/>
    <w:rsid w:val="009B3A4D"/>
    <w:rsid w:val="009B76BD"/>
    <w:rsid w:val="009C128C"/>
    <w:rsid w:val="009C143F"/>
    <w:rsid w:val="009C14D0"/>
    <w:rsid w:val="009C274E"/>
    <w:rsid w:val="009C4FD7"/>
    <w:rsid w:val="009C555F"/>
    <w:rsid w:val="009C6285"/>
    <w:rsid w:val="009D0134"/>
    <w:rsid w:val="009D0F98"/>
    <w:rsid w:val="009D1541"/>
    <w:rsid w:val="009D197C"/>
    <w:rsid w:val="009D27A0"/>
    <w:rsid w:val="009D29C6"/>
    <w:rsid w:val="009D2C66"/>
    <w:rsid w:val="009D450D"/>
    <w:rsid w:val="009D4A0D"/>
    <w:rsid w:val="009D557F"/>
    <w:rsid w:val="009D59D4"/>
    <w:rsid w:val="009D6467"/>
    <w:rsid w:val="009D6BBE"/>
    <w:rsid w:val="009E0E4F"/>
    <w:rsid w:val="009E22A1"/>
    <w:rsid w:val="009E3D3B"/>
    <w:rsid w:val="009E4634"/>
    <w:rsid w:val="009E4922"/>
    <w:rsid w:val="009E50A3"/>
    <w:rsid w:val="009E7F4E"/>
    <w:rsid w:val="009F322B"/>
    <w:rsid w:val="009F3E43"/>
    <w:rsid w:val="009F4846"/>
    <w:rsid w:val="009F5172"/>
    <w:rsid w:val="009F60A7"/>
    <w:rsid w:val="009F6716"/>
    <w:rsid w:val="00A00301"/>
    <w:rsid w:val="00A0244A"/>
    <w:rsid w:val="00A029F9"/>
    <w:rsid w:val="00A030E6"/>
    <w:rsid w:val="00A035C0"/>
    <w:rsid w:val="00A03C49"/>
    <w:rsid w:val="00A05296"/>
    <w:rsid w:val="00A0796A"/>
    <w:rsid w:val="00A10AC2"/>
    <w:rsid w:val="00A12947"/>
    <w:rsid w:val="00A12BA5"/>
    <w:rsid w:val="00A14218"/>
    <w:rsid w:val="00A142D1"/>
    <w:rsid w:val="00A1470D"/>
    <w:rsid w:val="00A1569D"/>
    <w:rsid w:val="00A1579B"/>
    <w:rsid w:val="00A22393"/>
    <w:rsid w:val="00A2353E"/>
    <w:rsid w:val="00A2431D"/>
    <w:rsid w:val="00A243E7"/>
    <w:rsid w:val="00A25D0A"/>
    <w:rsid w:val="00A26A73"/>
    <w:rsid w:val="00A26FE1"/>
    <w:rsid w:val="00A2779F"/>
    <w:rsid w:val="00A27F3A"/>
    <w:rsid w:val="00A302C7"/>
    <w:rsid w:val="00A35867"/>
    <w:rsid w:val="00A36225"/>
    <w:rsid w:val="00A366DC"/>
    <w:rsid w:val="00A36986"/>
    <w:rsid w:val="00A37179"/>
    <w:rsid w:val="00A371F5"/>
    <w:rsid w:val="00A40C02"/>
    <w:rsid w:val="00A40D40"/>
    <w:rsid w:val="00A43854"/>
    <w:rsid w:val="00A44268"/>
    <w:rsid w:val="00A4502A"/>
    <w:rsid w:val="00A4565D"/>
    <w:rsid w:val="00A5073D"/>
    <w:rsid w:val="00A50A3C"/>
    <w:rsid w:val="00A50D6D"/>
    <w:rsid w:val="00A5141D"/>
    <w:rsid w:val="00A51F3D"/>
    <w:rsid w:val="00A52E5A"/>
    <w:rsid w:val="00A5391A"/>
    <w:rsid w:val="00A56634"/>
    <w:rsid w:val="00A576DF"/>
    <w:rsid w:val="00A61323"/>
    <w:rsid w:val="00A631E4"/>
    <w:rsid w:val="00A6464B"/>
    <w:rsid w:val="00A64711"/>
    <w:rsid w:val="00A671DA"/>
    <w:rsid w:val="00A70078"/>
    <w:rsid w:val="00A705B4"/>
    <w:rsid w:val="00A72250"/>
    <w:rsid w:val="00A7568D"/>
    <w:rsid w:val="00A75D48"/>
    <w:rsid w:val="00A75D81"/>
    <w:rsid w:val="00A7633E"/>
    <w:rsid w:val="00A77B6C"/>
    <w:rsid w:val="00A77DF1"/>
    <w:rsid w:val="00A83107"/>
    <w:rsid w:val="00A8311B"/>
    <w:rsid w:val="00A8323C"/>
    <w:rsid w:val="00A836EE"/>
    <w:rsid w:val="00A839DF"/>
    <w:rsid w:val="00A83A46"/>
    <w:rsid w:val="00A84C13"/>
    <w:rsid w:val="00A856F2"/>
    <w:rsid w:val="00A86C98"/>
    <w:rsid w:val="00A876F8"/>
    <w:rsid w:val="00A87A4C"/>
    <w:rsid w:val="00A90772"/>
    <w:rsid w:val="00A90B33"/>
    <w:rsid w:val="00A91305"/>
    <w:rsid w:val="00A91CDA"/>
    <w:rsid w:val="00A94264"/>
    <w:rsid w:val="00AA01EE"/>
    <w:rsid w:val="00AA230C"/>
    <w:rsid w:val="00AA236A"/>
    <w:rsid w:val="00AA2538"/>
    <w:rsid w:val="00AA301C"/>
    <w:rsid w:val="00AA38C3"/>
    <w:rsid w:val="00AA5C44"/>
    <w:rsid w:val="00AA6762"/>
    <w:rsid w:val="00AA73D2"/>
    <w:rsid w:val="00AA76D1"/>
    <w:rsid w:val="00AA7C47"/>
    <w:rsid w:val="00AB0016"/>
    <w:rsid w:val="00AB0746"/>
    <w:rsid w:val="00AB1641"/>
    <w:rsid w:val="00AB1C54"/>
    <w:rsid w:val="00AB3344"/>
    <w:rsid w:val="00AB4767"/>
    <w:rsid w:val="00AB53D3"/>
    <w:rsid w:val="00AB63BB"/>
    <w:rsid w:val="00AC06C6"/>
    <w:rsid w:val="00AC0855"/>
    <w:rsid w:val="00AC1DE0"/>
    <w:rsid w:val="00AC1F57"/>
    <w:rsid w:val="00AC47A8"/>
    <w:rsid w:val="00AC4D23"/>
    <w:rsid w:val="00AC56A1"/>
    <w:rsid w:val="00AC5911"/>
    <w:rsid w:val="00AC716A"/>
    <w:rsid w:val="00AD003F"/>
    <w:rsid w:val="00AD1941"/>
    <w:rsid w:val="00AD1954"/>
    <w:rsid w:val="00AD1F40"/>
    <w:rsid w:val="00AD48AF"/>
    <w:rsid w:val="00AD4AD9"/>
    <w:rsid w:val="00AD7730"/>
    <w:rsid w:val="00AD7E62"/>
    <w:rsid w:val="00AE024B"/>
    <w:rsid w:val="00AE224F"/>
    <w:rsid w:val="00AE2AEB"/>
    <w:rsid w:val="00AE2B08"/>
    <w:rsid w:val="00AE3ACD"/>
    <w:rsid w:val="00AE4C27"/>
    <w:rsid w:val="00AE6537"/>
    <w:rsid w:val="00AE6D45"/>
    <w:rsid w:val="00AE7667"/>
    <w:rsid w:val="00AF1214"/>
    <w:rsid w:val="00AF1983"/>
    <w:rsid w:val="00AF40FD"/>
    <w:rsid w:val="00AF6132"/>
    <w:rsid w:val="00AF67A9"/>
    <w:rsid w:val="00B00251"/>
    <w:rsid w:val="00B01AFC"/>
    <w:rsid w:val="00B03A4D"/>
    <w:rsid w:val="00B05016"/>
    <w:rsid w:val="00B06BA5"/>
    <w:rsid w:val="00B07596"/>
    <w:rsid w:val="00B12234"/>
    <w:rsid w:val="00B13366"/>
    <w:rsid w:val="00B13F3D"/>
    <w:rsid w:val="00B15FEF"/>
    <w:rsid w:val="00B16387"/>
    <w:rsid w:val="00B176E7"/>
    <w:rsid w:val="00B20124"/>
    <w:rsid w:val="00B23244"/>
    <w:rsid w:val="00B24F31"/>
    <w:rsid w:val="00B25028"/>
    <w:rsid w:val="00B2584F"/>
    <w:rsid w:val="00B26527"/>
    <w:rsid w:val="00B279F3"/>
    <w:rsid w:val="00B300CB"/>
    <w:rsid w:val="00B303A0"/>
    <w:rsid w:val="00B317D5"/>
    <w:rsid w:val="00B325D4"/>
    <w:rsid w:val="00B33215"/>
    <w:rsid w:val="00B33DFE"/>
    <w:rsid w:val="00B34FE8"/>
    <w:rsid w:val="00B358DD"/>
    <w:rsid w:val="00B3591A"/>
    <w:rsid w:val="00B35B6E"/>
    <w:rsid w:val="00B374C5"/>
    <w:rsid w:val="00B400B8"/>
    <w:rsid w:val="00B402F6"/>
    <w:rsid w:val="00B42152"/>
    <w:rsid w:val="00B432F4"/>
    <w:rsid w:val="00B44BEA"/>
    <w:rsid w:val="00B45A60"/>
    <w:rsid w:val="00B46CAE"/>
    <w:rsid w:val="00B47526"/>
    <w:rsid w:val="00B50859"/>
    <w:rsid w:val="00B51655"/>
    <w:rsid w:val="00B54802"/>
    <w:rsid w:val="00B54A6B"/>
    <w:rsid w:val="00B55C4C"/>
    <w:rsid w:val="00B5756D"/>
    <w:rsid w:val="00B641CB"/>
    <w:rsid w:val="00B65FD1"/>
    <w:rsid w:val="00B66539"/>
    <w:rsid w:val="00B6664B"/>
    <w:rsid w:val="00B67792"/>
    <w:rsid w:val="00B679E7"/>
    <w:rsid w:val="00B70006"/>
    <w:rsid w:val="00B700BA"/>
    <w:rsid w:val="00B70509"/>
    <w:rsid w:val="00B7320F"/>
    <w:rsid w:val="00B739D5"/>
    <w:rsid w:val="00B7486F"/>
    <w:rsid w:val="00B75831"/>
    <w:rsid w:val="00B75A33"/>
    <w:rsid w:val="00B76411"/>
    <w:rsid w:val="00B77F5D"/>
    <w:rsid w:val="00B81B72"/>
    <w:rsid w:val="00B824CA"/>
    <w:rsid w:val="00B8265B"/>
    <w:rsid w:val="00B829A5"/>
    <w:rsid w:val="00B83019"/>
    <w:rsid w:val="00B8320A"/>
    <w:rsid w:val="00B835AD"/>
    <w:rsid w:val="00B83BAC"/>
    <w:rsid w:val="00B87953"/>
    <w:rsid w:val="00B87CAE"/>
    <w:rsid w:val="00B90841"/>
    <w:rsid w:val="00B909CE"/>
    <w:rsid w:val="00B91049"/>
    <w:rsid w:val="00B91332"/>
    <w:rsid w:val="00B9181D"/>
    <w:rsid w:val="00B92765"/>
    <w:rsid w:val="00B92D13"/>
    <w:rsid w:val="00B938C7"/>
    <w:rsid w:val="00B93E1D"/>
    <w:rsid w:val="00B94A4C"/>
    <w:rsid w:val="00B97F43"/>
    <w:rsid w:val="00BA0677"/>
    <w:rsid w:val="00BA1A20"/>
    <w:rsid w:val="00BA3796"/>
    <w:rsid w:val="00BA3AE9"/>
    <w:rsid w:val="00BA3E0C"/>
    <w:rsid w:val="00BA4308"/>
    <w:rsid w:val="00BA43AA"/>
    <w:rsid w:val="00BA47FB"/>
    <w:rsid w:val="00BA4CDF"/>
    <w:rsid w:val="00BA4DF8"/>
    <w:rsid w:val="00BA578C"/>
    <w:rsid w:val="00BA645A"/>
    <w:rsid w:val="00BA6501"/>
    <w:rsid w:val="00BB28A1"/>
    <w:rsid w:val="00BB47F5"/>
    <w:rsid w:val="00BB48B8"/>
    <w:rsid w:val="00BB540A"/>
    <w:rsid w:val="00BB6CEE"/>
    <w:rsid w:val="00BB73A1"/>
    <w:rsid w:val="00BB770E"/>
    <w:rsid w:val="00BB7738"/>
    <w:rsid w:val="00BC0F7D"/>
    <w:rsid w:val="00BC103E"/>
    <w:rsid w:val="00BC1E00"/>
    <w:rsid w:val="00BC2165"/>
    <w:rsid w:val="00BC297F"/>
    <w:rsid w:val="00BC32F1"/>
    <w:rsid w:val="00BC383B"/>
    <w:rsid w:val="00BC3E9B"/>
    <w:rsid w:val="00BC7907"/>
    <w:rsid w:val="00BD07D7"/>
    <w:rsid w:val="00BD0E7A"/>
    <w:rsid w:val="00BD470A"/>
    <w:rsid w:val="00BD5A3E"/>
    <w:rsid w:val="00BD6538"/>
    <w:rsid w:val="00BD6F6D"/>
    <w:rsid w:val="00BD77CB"/>
    <w:rsid w:val="00BD7E37"/>
    <w:rsid w:val="00BE00B7"/>
    <w:rsid w:val="00BE05F6"/>
    <w:rsid w:val="00BE0B2F"/>
    <w:rsid w:val="00BE21A6"/>
    <w:rsid w:val="00BE2506"/>
    <w:rsid w:val="00BE25C3"/>
    <w:rsid w:val="00BE555F"/>
    <w:rsid w:val="00BE7011"/>
    <w:rsid w:val="00BF116E"/>
    <w:rsid w:val="00BF510F"/>
    <w:rsid w:val="00BF728D"/>
    <w:rsid w:val="00C005B5"/>
    <w:rsid w:val="00C019F5"/>
    <w:rsid w:val="00C04893"/>
    <w:rsid w:val="00C04FEF"/>
    <w:rsid w:val="00C079FE"/>
    <w:rsid w:val="00C07E1A"/>
    <w:rsid w:val="00C100A0"/>
    <w:rsid w:val="00C12F23"/>
    <w:rsid w:val="00C13605"/>
    <w:rsid w:val="00C13631"/>
    <w:rsid w:val="00C13FA2"/>
    <w:rsid w:val="00C14A4B"/>
    <w:rsid w:val="00C150CA"/>
    <w:rsid w:val="00C163A4"/>
    <w:rsid w:val="00C16947"/>
    <w:rsid w:val="00C17A1A"/>
    <w:rsid w:val="00C17A62"/>
    <w:rsid w:val="00C17E1C"/>
    <w:rsid w:val="00C200FD"/>
    <w:rsid w:val="00C21B41"/>
    <w:rsid w:val="00C23469"/>
    <w:rsid w:val="00C2364C"/>
    <w:rsid w:val="00C237E0"/>
    <w:rsid w:val="00C2396B"/>
    <w:rsid w:val="00C23C72"/>
    <w:rsid w:val="00C24C69"/>
    <w:rsid w:val="00C259B3"/>
    <w:rsid w:val="00C25DA1"/>
    <w:rsid w:val="00C25E6D"/>
    <w:rsid w:val="00C26F94"/>
    <w:rsid w:val="00C31D62"/>
    <w:rsid w:val="00C31E5D"/>
    <w:rsid w:val="00C32611"/>
    <w:rsid w:val="00C326DE"/>
    <w:rsid w:val="00C344B3"/>
    <w:rsid w:val="00C37279"/>
    <w:rsid w:val="00C4016D"/>
    <w:rsid w:val="00C406F0"/>
    <w:rsid w:val="00C41065"/>
    <w:rsid w:val="00C41F2A"/>
    <w:rsid w:val="00C43B47"/>
    <w:rsid w:val="00C441A0"/>
    <w:rsid w:val="00C46564"/>
    <w:rsid w:val="00C4717F"/>
    <w:rsid w:val="00C5031F"/>
    <w:rsid w:val="00C50C96"/>
    <w:rsid w:val="00C51311"/>
    <w:rsid w:val="00C52AB4"/>
    <w:rsid w:val="00C53F1F"/>
    <w:rsid w:val="00C60331"/>
    <w:rsid w:val="00C62F25"/>
    <w:rsid w:val="00C62F5F"/>
    <w:rsid w:val="00C635D0"/>
    <w:rsid w:val="00C65835"/>
    <w:rsid w:val="00C65D81"/>
    <w:rsid w:val="00C65E0B"/>
    <w:rsid w:val="00C6621C"/>
    <w:rsid w:val="00C66314"/>
    <w:rsid w:val="00C6707F"/>
    <w:rsid w:val="00C675AC"/>
    <w:rsid w:val="00C67AE9"/>
    <w:rsid w:val="00C67E95"/>
    <w:rsid w:val="00C703EE"/>
    <w:rsid w:val="00C708B8"/>
    <w:rsid w:val="00C71A13"/>
    <w:rsid w:val="00C73947"/>
    <w:rsid w:val="00C74F1B"/>
    <w:rsid w:val="00C76599"/>
    <w:rsid w:val="00C768D0"/>
    <w:rsid w:val="00C771FA"/>
    <w:rsid w:val="00C80033"/>
    <w:rsid w:val="00C80081"/>
    <w:rsid w:val="00C80304"/>
    <w:rsid w:val="00C84ECE"/>
    <w:rsid w:val="00C85A05"/>
    <w:rsid w:val="00C86122"/>
    <w:rsid w:val="00C86C62"/>
    <w:rsid w:val="00C87AF1"/>
    <w:rsid w:val="00C92057"/>
    <w:rsid w:val="00C94CE1"/>
    <w:rsid w:val="00C950DA"/>
    <w:rsid w:val="00C9646E"/>
    <w:rsid w:val="00C966DA"/>
    <w:rsid w:val="00CA1FB7"/>
    <w:rsid w:val="00CA23C1"/>
    <w:rsid w:val="00CA274D"/>
    <w:rsid w:val="00CA3A8F"/>
    <w:rsid w:val="00CA4E98"/>
    <w:rsid w:val="00CA5039"/>
    <w:rsid w:val="00CA5D99"/>
    <w:rsid w:val="00CA6370"/>
    <w:rsid w:val="00CA64C9"/>
    <w:rsid w:val="00CA72A3"/>
    <w:rsid w:val="00CB0AE3"/>
    <w:rsid w:val="00CB1153"/>
    <w:rsid w:val="00CB20E5"/>
    <w:rsid w:val="00CB215B"/>
    <w:rsid w:val="00CB2A76"/>
    <w:rsid w:val="00CB2E61"/>
    <w:rsid w:val="00CB4F64"/>
    <w:rsid w:val="00CB628A"/>
    <w:rsid w:val="00CB6665"/>
    <w:rsid w:val="00CB7829"/>
    <w:rsid w:val="00CB7AC4"/>
    <w:rsid w:val="00CB7F4D"/>
    <w:rsid w:val="00CB7F6F"/>
    <w:rsid w:val="00CC08E9"/>
    <w:rsid w:val="00CC098F"/>
    <w:rsid w:val="00CC0E7A"/>
    <w:rsid w:val="00CC12EE"/>
    <w:rsid w:val="00CC2598"/>
    <w:rsid w:val="00CC2C4C"/>
    <w:rsid w:val="00CC2E0D"/>
    <w:rsid w:val="00CC757D"/>
    <w:rsid w:val="00CD0163"/>
    <w:rsid w:val="00CD395F"/>
    <w:rsid w:val="00CD3DB1"/>
    <w:rsid w:val="00CD4AD2"/>
    <w:rsid w:val="00CD6332"/>
    <w:rsid w:val="00CD6D8B"/>
    <w:rsid w:val="00CD70E0"/>
    <w:rsid w:val="00CE014B"/>
    <w:rsid w:val="00CE2475"/>
    <w:rsid w:val="00CE262B"/>
    <w:rsid w:val="00CE2635"/>
    <w:rsid w:val="00CE2CEE"/>
    <w:rsid w:val="00CE3996"/>
    <w:rsid w:val="00CE4186"/>
    <w:rsid w:val="00CE4BF2"/>
    <w:rsid w:val="00CE4E76"/>
    <w:rsid w:val="00CE57AE"/>
    <w:rsid w:val="00CE584B"/>
    <w:rsid w:val="00CE5B50"/>
    <w:rsid w:val="00CF04B5"/>
    <w:rsid w:val="00CF0FE2"/>
    <w:rsid w:val="00CF2CAA"/>
    <w:rsid w:val="00CF3785"/>
    <w:rsid w:val="00CF46CB"/>
    <w:rsid w:val="00CF4949"/>
    <w:rsid w:val="00CF4C89"/>
    <w:rsid w:val="00CF6B27"/>
    <w:rsid w:val="00CF6C30"/>
    <w:rsid w:val="00CF71D5"/>
    <w:rsid w:val="00D0145C"/>
    <w:rsid w:val="00D016D9"/>
    <w:rsid w:val="00D01B0F"/>
    <w:rsid w:val="00D0216F"/>
    <w:rsid w:val="00D022A2"/>
    <w:rsid w:val="00D072C8"/>
    <w:rsid w:val="00D072F3"/>
    <w:rsid w:val="00D0781E"/>
    <w:rsid w:val="00D07A8E"/>
    <w:rsid w:val="00D101BB"/>
    <w:rsid w:val="00D10D1D"/>
    <w:rsid w:val="00D118D4"/>
    <w:rsid w:val="00D137C4"/>
    <w:rsid w:val="00D13856"/>
    <w:rsid w:val="00D15212"/>
    <w:rsid w:val="00D17164"/>
    <w:rsid w:val="00D17EB0"/>
    <w:rsid w:val="00D17F36"/>
    <w:rsid w:val="00D20C10"/>
    <w:rsid w:val="00D265E3"/>
    <w:rsid w:val="00D30484"/>
    <w:rsid w:val="00D313E5"/>
    <w:rsid w:val="00D347FA"/>
    <w:rsid w:val="00D352AD"/>
    <w:rsid w:val="00D35A71"/>
    <w:rsid w:val="00D3776F"/>
    <w:rsid w:val="00D40C3B"/>
    <w:rsid w:val="00D41267"/>
    <w:rsid w:val="00D433AE"/>
    <w:rsid w:val="00D44931"/>
    <w:rsid w:val="00D45743"/>
    <w:rsid w:val="00D45DAA"/>
    <w:rsid w:val="00D465A3"/>
    <w:rsid w:val="00D4678F"/>
    <w:rsid w:val="00D47AC6"/>
    <w:rsid w:val="00D47D3F"/>
    <w:rsid w:val="00D50053"/>
    <w:rsid w:val="00D50A39"/>
    <w:rsid w:val="00D51496"/>
    <w:rsid w:val="00D51A2F"/>
    <w:rsid w:val="00D52229"/>
    <w:rsid w:val="00D53CF3"/>
    <w:rsid w:val="00D6111C"/>
    <w:rsid w:val="00D61494"/>
    <w:rsid w:val="00D62B74"/>
    <w:rsid w:val="00D63D3F"/>
    <w:rsid w:val="00D64DD5"/>
    <w:rsid w:val="00D6529B"/>
    <w:rsid w:val="00D66B8B"/>
    <w:rsid w:val="00D676F0"/>
    <w:rsid w:val="00D67B9D"/>
    <w:rsid w:val="00D67D02"/>
    <w:rsid w:val="00D71C96"/>
    <w:rsid w:val="00D71D97"/>
    <w:rsid w:val="00D765DA"/>
    <w:rsid w:val="00D76C3F"/>
    <w:rsid w:val="00D76C78"/>
    <w:rsid w:val="00D773CB"/>
    <w:rsid w:val="00D77A95"/>
    <w:rsid w:val="00D80BE5"/>
    <w:rsid w:val="00D82C24"/>
    <w:rsid w:val="00D838E7"/>
    <w:rsid w:val="00D85B5A"/>
    <w:rsid w:val="00D85F52"/>
    <w:rsid w:val="00D87746"/>
    <w:rsid w:val="00D9021A"/>
    <w:rsid w:val="00D9242B"/>
    <w:rsid w:val="00D92F3B"/>
    <w:rsid w:val="00D9360D"/>
    <w:rsid w:val="00D939E7"/>
    <w:rsid w:val="00D94953"/>
    <w:rsid w:val="00D953E6"/>
    <w:rsid w:val="00D96174"/>
    <w:rsid w:val="00D97253"/>
    <w:rsid w:val="00D97611"/>
    <w:rsid w:val="00D97AB4"/>
    <w:rsid w:val="00DA04BA"/>
    <w:rsid w:val="00DA089D"/>
    <w:rsid w:val="00DA115C"/>
    <w:rsid w:val="00DA1463"/>
    <w:rsid w:val="00DA1B6D"/>
    <w:rsid w:val="00DA1F29"/>
    <w:rsid w:val="00DA30E8"/>
    <w:rsid w:val="00DA3328"/>
    <w:rsid w:val="00DA36FD"/>
    <w:rsid w:val="00DA515D"/>
    <w:rsid w:val="00DB1537"/>
    <w:rsid w:val="00DB1A91"/>
    <w:rsid w:val="00DB1D32"/>
    <w:rsid w:val="00DB2628"/>
    <w:rsid w:val="00DB4349"/>
    <w:rsid w:val="00DB56E1"/>
    <w:rsid w:val="00DB61A8"/>
    <w:rsid w:val="00DB6FE2"/>
    <w:rsid w:val="00DC03C3"/>
    <w:rsid w:val="00DC047E"/>
    <w:rsid w:val="00DC2272"/>
    <w:rsid w:val="00DC54D7"/>
    <w:rsid w:val="00DC7D4B"/>
    <w:rsid w:val="00DD1302"/>
    <w:rsid w:val="00DD168D"/>
    <w:rsid w:val="00DD1955"/>
    <w:rsid w:val="00DD421F"/>
    <w:rsid w:val="00DD545B"/>
    <w:rsid w:val="00DD5494"/>
    <w:rsid w:val="00DD5974"/>
    <w:rsid w:val="00DD5980"/>
    <w:rsid w:val="00DD5B3F"/>
    <w:rsid w:val="00DD759F"/>
    <w:rsid w:val="00DD7CEC"/>
    <w:rsid w:val="00DD7EC7"/>
    <w:rsid w:val="00DE30D3"/>
    <w:rsid w:val="00DE33AE"/>
    <w:rsid w:val="00DE4A38"/>
    <w:rsid w:val="00DE7D5A"/>
    <w:rsid w:val="00DE7DD8"/>
    <w:rsid w:val="00DF0466"/>
    <w:rsid w:val="00DF2594"/>
    <w:rsid w:val="00DF3712"/>
    <w:rsid w:val="00DF4450"/>
    <w:rsid w:val="00DF4D2D"/>
    <w:rsid w:val="00DF4EE1"/>
    <w:rsid w:val="00DF6DAA"/>
    <w:rsid w:val="00E00678"/>
    <w:rsid w:val="00E009CD"/>
    <w:rsid w:val="00E00B3A"/>
    <w:rsid w:val="00E01A84"/>
    <w:rsid w:val="00E02E63"/>
    <w:rsid w:val="00E0382A"/>
    <w:rsid w:val="00E047E9"/>
    <w:rsid w:val="00E059CC"/>
    <w:rsid w:val="00E06422"/>
    <w:rsid w:val="00E10695"/>
    <w:rsid w:val="00E10F31"/>
    <w:rsid w:val="00E11982"/>
    <w:rsid w:val="00E12B8D"/>
    <w:rsid w:val="00E13579"/>
    <w:rsid w:val="00E16A63"/>
    <w:rsid w:val="00E20F9C"/>
    <w:rsid w:val="00E2196C"/>
    <w:rsid w:val="00E22F04"/>
    <w:rsid w:val="00E23630"/>
    <w:rsid w:val="00E23996"/>
    <w:rsid w:val="00E24B3E"/>
    <w:rsid w:val="00E24CE8"/>
    <w:rsid w:val="00E24E2B"/>
    <w:rsid w:val="00E25C42"/>
    <w:rsid w:val="00E263D1"/>
    <w:rsid w:val="00E30567"/>
    <w:rsid w:val="00E3321E"/>
    <w:rsid w:val="00E3516A"/>
    <w:rsid w:val="00E36135"/>
    <w:rsid w:val="00E361A3"/>
    <w:rsid w:val="00E3681B"/>
    <w:rsid w:val="00E37F49"/>
    <w:rsid w:val="00E40A87"/>
    <w:rsid w:val="00E4156E"/>
    <w:rsid w:val="00E41B90"/>
    <w:rsid w:val="00E431D4"/>
    <w:rsid w:val="00E43A58"/>
    <w:rsid w:val="00E43F51"/>
    <w:rsid w:val="00E44378"/>
    <w:rsid w:val="00E46302"/>
    <w:rsid w:val="00E47D14"/>
    <w:rsid w:val="00E50642"/>
    <w:rsid w:val="00E5073C"/>
    <w:rsid w:val="00E510E4"/>
    <w:rsid w:val="00E51673"/>
    <w:rsid w:val="00E546F2"/>
    <w:rsid w:val="00E566BF"/>
    <w:rsid w:val="00E61664"/>
    <w:rsid w:val="00E63543"/>
    <w:rsid w:val="00E65DBA"/>
    <w:rsid w:val="00E66069"/>
    <w:rsid w:val="00E663D5"/>
    <w:rsid w:val="00E70C61"/>
    <w:rsid w:val="00E70E15"/>
    <w:rsid w:val="00E7168F"/>
    <w:rsid w:val="00E75946"/>
    <w:rsid w:val="00E76AF7"/>
    <w:rsid w:val="00E77127"/>
    <w:rsid w:val="00E775E6"/>
    <w:rsid w:val="00E838F6"/>
    <w:rsid w:val="00E85534"/>
    <w:rsid w:val="00E85E99"/>
    <w:rsid w:val="00E867C5"/>
    <w:rsid w:val="00E916A3"/>
    <w:rsid w:val="00E91D71"/>
    <w:rsid w:val="00E928F8"/>
    <w:rsid w:val="00E97FDF"/>
    <w:rsid w:val="00EA3FCD"/>
    <w:rsid w:val="00EA4244"/>
    <w:rsid w:val="00EA6E87"/>
    <w:rsid w:val="00EA72FF"/>
    <w:rsid w:val="00EA7D7F"/>
    <w:rsid w:val="00EB059A"/>
    <w:rsid w:val="00EB1C53"/>
    <w:rsid w:val="00EB3E76"/>
    <w:rsid w:val="00EB4CA7"/>
    <w:rsid w:val="00EB7915"/>
    <w:rsid w:val="00EC26B3"/>
    <w:rsid w:val="00EC5627"/>
    <w:rsid w:val="00EC5748"/>
    <w:rsid w:val="00EC5E2E"/>
    <w:rsid w:val="00ED0989"/>
    <w:rsid w:val="00ED0D19"/>
    <w:rsid w:val="00ED15BD"/>
    <w:rsid w:val="00ED2DBB"/>
    <w:rsid w:val="00ED34B1"/>
    <w:rsid w:val="00ED565C"/>
    <w:rsid w:val="00ED5B60"/>
    <w:rsid w:val="00ED5E30"/>
    <w:rsid w:val="00ED6273"/>
    <w:rsid w:val="00ED6CB7"/>
    <w:rsid w:val="00ED7E36"/>
    <w:rsid w:val="00EE3560"/>
    <w:rsid w:val="00EE5726"/>
    <w:rsid w:val="00EE69E5"/>
    <w:rsid w:val="00EF1E25"/>
    <w:rsid w:val="00EF372C"/>
    <w:rsid w:val="00EF4825"/>
    <w:rsid w:val="00EF5C2A"/>
    <w:rsid w:val="00EF6186"/>
    <w:rsid w:val="00EF69A8"/>
    <w:rsid w:val="00F012AA"/>
    <w:rsid w:val="00F01E7B"/>
    <w:rsid w:val="00F02211"/>
    <w:rsid w:val="00F04250"/>
    <w:rsid w:val="00F04AEF"/>
    <w:rsid w:val="00F05321"/>
    <w:rsid w:val="00F05BDD"/>
    <w:rsid w:val="00F061D4"/>
    <w:rsid w:val="00F07028"/>
    <w:rsid w:val="00F07555"/>
    <w:rsid w:val="00F0762F"/>
    <w:rsid w:val="00F07D19"/>
    <w:rsid w:val="00F112CC"/>
    <w:rsid w:val="00F11978"/>
    <w:rsid w:val="00F130A3"/>
    <w:rsid w:val="00F134B1"/>
    <w:rsid w:val="00F1576C"/>
    <w:rsid w:val="00F166B9"/>
    <w:rsid w:val="00F16CA1"/>
    <w:rsid w:val="00F16EAE"/>
    <w:rsid w:val="00F20F42"/>
    <w:rsid w:val="00F23DB0"/>
    <w:rsid w:val="00F24577"/>
    <w:rsid w:val="00F24A13"/>
    <w:rsid w:val="00F25A21"/>
    <w:rsid w:val="00F311EF"/>
    <w:rsid w:val="00F3451A"/>
    <w:rsid w:val="00F347CD"/>
    <w:rsid w:val="00F347DB"/>
    <w:rsid w:val="00F34AFC"/>
    <w:rsid w:val="00F361C0"/>
    <w:rsid w:val="00F3676A"/>
    <w:rsid w:val="00F36CC5"/>
    <w:rsid w:val="00F40536"/>
    <w:rsid w:val="00F40EDA"/>
    <w:rsid w:val="00F417AA"/>
    <w:rsid w:val="00F42260"/>
    <w:rsid w:val="00F42390"/>
    <w:rsid w:val="00F44096"/>
    <w:rsid w:val="00F462C3"/>
    <w:rsid w:val="00F463DD"/>
    <w:rsid w:val="00F46DA2"/>
    <w:rsid w:val="00F474C0"/>
    <w:rsid w:val="00F53019"/>
    <w:rsid w:val="00F5307C"/>
    <w:rsid w:val="00F53718"/>
    <w:rsid w:val="00F54C33"/>
    <w:rsid w:val="00F55701"/>
    <w:rsid w:val="00F55CD4"/>
    <w:rsid w:val="00F5666C"/>
    <w:rsid w:val="00F57764"/>
    <w:rsid w:val="00F60161"/>
    <w:rsid w:val="00F61F03"/>
    <w:rsid w:val="00F630C2"/>
    <w:rsid w:val="00F636B6"/>
    <w:rsid w:val="00F663C6"/>
    <w:rsid w:val="00F66947"/>
    <w:rsid w:val="00F67050"/>
    <w:rsid w:val="00F672B2"/>
    <w:rsid w:val="00F70032"/>
    <w:rsid w:val="00F7082E"/>
    <w:rsid w:val="00F7189C"/>
    <w:rsid w:val="00F725A5"/>
    <w:rsid w:val="00F73E6F"/>
    <w:rsid w:val="00F74115"/>
    <w:rsid w:val="00F74590"/>
    <w:rsid w:val="00F74EEF"/>
    <w:rsid w:val="00F75E78"/>
    <w:rsid w:val="00F8217F"/>
    <w:rsid w:val="00F85200"/>
    <w:rsid w:val="00F852D9"/>
    <w:rsid w:val="00F8549B"/>
    <w:rsid w:val="00F8552B"/>
    <w:rsid w:val="00F85919"/>
    <w:rsid w:val="00F90202"/>
    <w:rsid w:val="00F9224A"/>
    <w:rsid w:val="00F924CB"/>
    <w:rsid w:val="00F92BF2"/>
    <w:rsid w:val="00F92C81"/>
    <w:rsid w:val="00F968F1"/>
    <w:rsid w:val="00F96F21"/>
    <w:rsid w:val="00FA2432"/>
    <w:rsid w:val="00FA42B1"/>
    <w:rsid w:val="00FA462B"/>
    <w:rsid w:val="00FA55D8"/>
    <w:rsid w:val="00FA594E"/>
    <w:rsid w:val="00FA798F"/>
    <w:rsid w:val="00FA7D7F"/>
    <w:rsid w:val="00FB009C"/>
    <w:rsid w:val="00FB012B"/>
    <w:rsid w:val="00FB0F12"/>
    <w:rsid w:val="00FB2F98"/>
    <w:rsid w:val="00FB31AC"/>
    <w:rsid w:val="00FB31C5"/>
    <w:rsid w:val="00FB4BC8"/>
    <w:rsid w:val="00FB52AB"/>
    <w:rsid w:val="00FB58D2"/>
    <w:rsid w:val="00FB6148"/>
    <w:rsid w:val="00FC227B"/>
    <w:rsid w:val="00FC343C"/>
    <w:rsid w:val="00FC4394"/>
    <w:rsid w:val="00FC45FB"/>
    <w:rsid w:val="00FC4941"/>
    <w:rsid w:val="00FD0100"/>
    <w:rsid w:val="00FD1907"/>
    <w:rsid w:val="00FD2BBA"/>
    <w:rsid w:val="00FD35BC"/>
    <w:rsid w:val="00FD3A50"/>
    <w:rsid w:val="00FD431F"/>
    <w:rsid w:val="00FD67D8"/>
    <w:rsid w:val="00FE0AFC"/>
    <w:rsid w:val="00FE1F95"/>
    <w:rsid w:val="00FE45FD"/>
    <w:rsid w:val="00FE4D5A"/>
    <w:rsid w:val="00FE6879"/>
    <w:rsid w:val="00FE7C96"/>
    <w:rsid w:val="00FE7FE6"/>
    <w:rsid w:val="00FF1754"/>
    <w:rsid w:val="00FF2657"/>
    <w:rsid w:val="00FF27B5"/>
    <w:rsid w:val="00FF43EF"/>
    <w:rsid w:val="03B14303"/>
    <w:rsid w:val="0CF4D7D2"/>
    <w:rsid w:val="0F66B8B4"/>
    <w:rsid w:val="10134F03"/>
    <w:rsid w:val="149E407A"/>
    <w:rsid w:val="14EC3AAD"/>
    <w:rsid w:val="16C7FF11"/>
    <w:rsid w:val="181E5111"/>
    <w:rsid w:val="1C103B3F"/>
    <w:rsid w:val="21C92D28"/>
    <w:rsid w:val="27182934"/>
    <w:rsid w:val="29C9001B"/>
    <w:rsid w:val="31423C9D"/>
    <w:rsid w:val="3497EE02"/>
    <w:rsid w:val="35A9115C"/>
    <w:rsid w:val="37F491E7"/>
    <w:rsid w:val="3829E8B9"/>
    <w:rsid w:val="389D3B10"/>
    <w:rsid w:val="3DCA05A8"/>
    <w:rsid w:val="3F4F8DF6"/>
    <w:rsid w:val="3F5F14DE"/>
    <w:rsid w:val="3F9C8E96"/>
    <w:rsid w:val="4091C0EB"/>
    <w:rsid w:val="447495F1"/>
    <w:rsid w:val="4523DBB2"/>
    <w:rsid w:val="46BFE8BB"/>
    <w:rsid w:val="47997035"/>
    <w:rsid w:val="47CF9D31"/>
    <w:rsid w:val="47D11058"/>
    <w:rsid w:val="4BF6E6A1"/>
    <w:rsid w:val="4CE8B066"/>
    <w:rsid w:val="4DF4C580"/>
    <w:rsid w:val="4F1BD65A"/>
    <w:rsid w:val="506C4250"/>
    <w:rsid w:val="5782D8ED"/>
    <w:rsid w:val="57E7D1EA"/>
    <w:rsid w:val="58A358E5"/>
    <w:rsid w:val="58C6B966"/>
    <w:rsid w:val="5BE0432F"/>
    <w:rsid w:val="5CADA481"/>
    <w:rsid w:val="5D5E7096"/>
    <w:rsid w:val="5EF4F490"/>
    <w:rsid w:val="5FA5995F"/>
    <w:rsid w:val="62689A27"/>
    <w:rsid w:val="66C399FC"/>
    <w:rsid w:val="6740D9EB"/>
    <w:rsid w:val="6D411579"/>
    <w:rsid w:val="6E0347A0"/>
    <w:rsid w:val="6E49DC27"/>
    <w:rsid w:val="752F515A"/>
    <w:rsid w:val="755F67F3"/>
    <w:rsid w:val="7B5E68D4"/>
    <w:rsid w:val="7CE4A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312986"/>
  <w14:defaultImageDpi w14:val="32767"/>
  <w15:chartTrackingRefBased/>
  <w15:docId w15:val="{89D4DD4C-0528-4B27-BFE4-F898E8BD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66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51729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66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51729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2D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F1B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1"/>
    <w:qFormat/>
    <w:rsid w:val="00C13FA2"/>
    <w:pPr>
      <w:spacing w:before="200" w:after="0" w:line="280" w:lineRule="atLeast"/>
    </w:pPr>
    <w:rPr>
      <w:noProof/>
      <w:sz w:val="18"/>
    </w:rPr>
  </w:style>
  <w:style w:type="paragraph" w:customStyle="1" w:styleId="Head1">
    <w:name w:val="Head1"/>
    <w:basedOn w:val="Heading1"/>
    <w:link w:val="Head1Char"/>
    <w:qFormat/>
    <w:rsid w:val="00C13FA2"/>
    <w:pPr>
      <w:spacing w:before="120" w:after="120" w:line="260" w:lineRule="atLeast"/>
    </w:pPr>
    <w:rPr>
      <w:b/>
      <w:noProof/>
      <w:color w:val="1C1F38" w:themeColor="accent1"/>
    </w:rPr>
  </w:style>
  <w:style w:type="paragraph" w:styleId="Header">
    <w:name w:val="header"/>
    <w:basedOn w:val="Normal"/>
    <w:link w:val="HeaderChar"/>
    <w:uiPriority w:val="99"/>
    <w:unhideWhenUsed/>
    <w:rsid w:val="00F16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CA1"/>
  </w:style>
  <w:style w:type="paragraph" w:styleId="Footer">
    <w:name w:val="footer"/>
    <w:basedOn w:val="Normal"/>
    <w:link w:val="FooterChar"/>
    <w:uiPriority w:val="99"/>
    <w:unhideWhenUsed/>
    <w:rsid w:val="00F16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CA1"/>
  </w:style>
  <w:style w:type="paragraph" w:styleId="Subtitle">
    <w:name w:val="Subtitle"/>
    <w:basedOn w:val="Normal"/>
    <w:next w:val="Normal"/>
    <w:link w:val="SubtitleChar"/>
    <w:uiPriority w:val="11"/>
    <w:qFormat/>
    <w:rsid w:val="00F16CA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16CA1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F16C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F16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16CA1"/>
  </w:style>
  <w:style w:type="character" w:customStyle="1" w:styleId="DateChar">
    <w:name w:val="Date Char"/>
    <w:basedOn w:val="DefaultParagraphFont"/>
    <w:link w:val="Date"/>
    <w:uiPriority w:val="2"/>
    <w:rsid w:val="00F16CA1"/>
  </w:style>
  <w:style w:type="paragraph" w:customStyle="1" w:styleId="Time">
    <w:name w:val="Time"/>
    <w:basedOn w:val="Normal"/>
    <w:uiPriority w:val="2"/>
    <w:qFormat/>
    <w:rsid w:val="00F16CA1"/>
    <w:pPr>
      <w:spacing w:before="120" w:after="240" w:line="240" w:lineRule="auto"/>
      <w:ind w:right="101"/>
      <w:jc w:val="center"/>
    </w:pPr>
    <w:rPr>
      <w:rFonts w:eastAsia="Candara" w:cs="Times New Roman"/>
      <w:caps/>
      <w:color w:val="FFFFFF"/>
      <w:sz w:val="32"/>
      <w:szCs w:val="64"/>
      <w:lang w:eastAsia="ja-JP"/>
    </w:rPr>
  </w:style>
  <w:style w:type="paragraph" w:customStyle="1" w:styleId="Location">
    <w:name w:val="Location"/>
    <w:basedOn w:val="Normal"/>
    <w:uiPriority w:val="3"/>
    <w:qFormat/>
    <w:rsid w:val="00F16CA1"/>
    <w:pPr>
      <w:spacing w:before="120" w:after="0" w:line="240" w:lineRule="auto"/>
      <w:ind w:right="101"/>
      <w:jc w:val="center"/>
    </w:pPr>
    <w:rPr>
      <w:rFonts w:eastAsia="Candara" w:cs="Times New Roman"/>
      <w:color w:val="FFFFFF"/>
      <w:sz w:val="36"/>
      <w:szCs w:val="64"/>
      <w:lang w:eastAsia="ja-JP"/>
    </w:rPr>
  </w:style>
  <w:style w:type="paragraph" w:customStyle="1" w:styleId="Intro">
    <w:name w:val="Intro"/>
    <w:basedOn w:val="Normal"/>
    <w:qFormat/>
    <w:rsid w:val="00F16CA1"/>
    <w:pPr>
      <w:spacing w:before="120" w:after="240" w:line="240" w:lineRule="auto"/>
      <w:ind w:right="101"/>
      <w:jc w:val="center"/>
    </w:pPr>
    <w:rPr>
      <w:caps/>
      <w:color w:val="FFFFFF"/>
      <w:sz w:val="28"/>
      <w:szCs w:val="24"/>
      <w:lang w:eastAsia="ja-JP"/>
    </w:rPr>
  </w:style>
  <w:style w:type="paragraph" w:customStyle="1" w:styleId="MainTitle">
    <w:name w:val="MainTitle"/>
    <w:qFormat/>
    <w:rsid w:val="00E928F8"/>
    <w:pPr>
      <w:spacing w:before="120" w:after="240" w:line="260" w:lineRule="atLeast"/>
    </w:pPr>
    <w:rPr>
      <w:rFonts w:asciiTheme="majorHAnsi" w:eastAsiaTheme="majorEastAsia" w:hAnsiTheme="majorHAnsi" w:cstheme="majorBidi"/>
      <w:b/>
      <w:color w:val="E91768" w:themeColor="accent2"/>
      <w:spacing w:val="-10"/>
      <w:kern w:val="28"/>
      <w:sz w:val="72"/>
      <w:szCs w:val="56"/>
    </w:rPr>
  </w:style>
  <w:style w:type="paragraph" w:customStyle="1" w:styleId="Subtitle1">
    <w:name w:val="Subtitle1"/>
    <w:qFormat/>
    <w:rsid w:val="00E928F8"/>
    <w:pPr>
      <w:spacing w:before="120" w:after="120" w:line="260" w:lineRule="atLeast"/>
    </w:pPr>
    <w:rPr>
      <w:rFonts w:eastAsiaTheme="minorEastAsia"/>
      <w:b/>
      <w:color w:val="6610F2" w:themeColor="accent3"/>
      <w:spacing w:val="15"/>
      <w:sz w:val="28"/>
    </w:rPr>
  </w:style>
  <w:style w:type="table" w:styleId="TableGrid">
    <w:name w:val="Table Grid"/>
    <w:basedOn w:val="TableNormal"/>
    <w:uiPriority w:val="59"/>
    <w:rsid w:val="00EC5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1">
    <w:name w:val="TableText1"/>
    <w:qFormat/>
    <w:rsid w:val="00100F94"/>
    <w:pPr>
      <w:spacing w:before="120" w:after="120" w:line="260" w:lineRule="atLeast"/>
    </w:pPr>
    <w:rPr>
      <w:noProof/>
      <w:sz w:val="18"/>
    </w:rPr>
  </w:style>
  <w:style w:type="paragraph" w:customStyle="1" w:styleId="Bullet1">
    <w:name w:val="Bullet1"/>
    <w:qFormat/>
    <w:rsid w:val="00C13FA2"/>
    <w:pPr>
      <w:numPr>
        <w:numId w:val="1"/>
      </w:numPr>
      <w:spacing w:before="120" w:after="0" w:line="260" w:lineRule="atLeast"/>
    </w:pPr>
    <w:rPr>
      <w:noProof/>
      <w:sz w:val="18"/>
    </w:rPr>
  </w:style>
  <w:style w:type="paragraph" w:customStyle="1" w:styleId="Bullet2">
    <w:name w:val="Bullet2"/>
    <w:qFormat/>
    <w:rsid w:val="00851CF6"/>
    <w:pPr>
      <w:numPr>
        <w:ilvl w:val="1"/>
        <w:numId w:val="1"/>
      </w:numPr>
      <w:spacing w:before="200" w:after="0" w:line="260" w:lineRule="atLeast"/>
    </w:pPr>
    <w:rPr>
      <w:noProof/>
      <w:sz w:val="20"/>
    </w:rPr>
  </w:style>
  <w:style w:type="paragraph" w:customStyle="1" w:styleId="Bullet3">
    <w:name w:val="Bullet3"/>
    <w:qFormat/>
    <w:rsid w:val="00851CF6"/>
    <w:pPr>
      <w:numPr>
        <w:ilvl w:val="2"/>
        <w:numId w:val="1"/>
      </w:numPr>
      <w:spacing w:before="200" w:after="0" w:line="260" w:lineRule="atLeast"/>
    </w:pPr>
    <w:rPr>
      <w:noProof/>
      <w:sz w:val="20"/>
    </w:rPr>
  </w:style>
  <w:style w:type="paragraph" w:customStyle="1" w:styleId="Head2">
    <w:name w:val="Head2"/>
    <w:qFormat/>
    <w:rsid w:val="00C13FA2"/>
    <w:pPr>
      <w:keepNext/>
      <w:spacing w:before="240" w:after="0" w:line="260" w:lineRule="atLeast"/>
    </w:pPr>
    <w:rPr>
      <w:rFonts w:asciiTheme="majorHAnsi" w:hAnsiTheme="majorHAnsi"/>
      <w:b/>
      <w:noProof/>
      <w:color w:val="1C1F38" w:themeColor="accent1"/>
      <w:sz w:val="24"/>
    </w:rPr>
  </w:style>
  <w:style w:type="paragraph" w:customStyle="1" w:styleId="TextNormal">
    <w:name w:val="TextNormal"/>
    <w:qFormat/>
    <w:rsid w:val="00BA3796"/>
    <w:pPr>
      <w:spacing w:after="0" w:line="260" w:lineRule="atLeast"/>
    </w:pPr>
    <w:rPr>
      <w:noProof/>
      <w:sz w:val="20"/>
    </w:rPr>
  </w:style>
  <w:style w:type="paragraph" w:styleId="TOC1">
    <w:name w:val="toc 1"/>
    <w:basedOn w:val="Normal"/>
    <w:next w:val="Normal"/>
    <w:uiPriority w:val="39"/>
    <w:unhideWhenUsed/>
    <w:rsid w:val="007B3C5D"/>
    <w:pPr>
      <w:tabs>
        <w:tab w:val="right" w:pos="10080"/>
      </w:tabs>
      <w:spacing w:before="240" w:after="0" w:line="260" w:lineRule="atLeast"/>
    </w:pPr>
    <w:rPr>
      <w:b/>
      <w:caps/>
      <w:color w:val="1C1F38" w:themeColor="accent1"/>
      <w:sz w:val="24"/>
    </w:rPr>
  </w:style>
  <w:style w:type="paragraph" w:styleId="TOC2">
    <w:name w:val="toc 2"/>
    <w:basedOn w:val="Normal"/>
    <w:next w:val="Normal"/>
    <w:uiPriority w:val="39"/>
    <w:unhideWhenUsed/>
    <w:rsid w:val="009F5172"/>
    <w:pPr>
      <w:tabs>
        <w:tab w:val="right" w:leader="dot" w:pos="10080"/>
      </w:tabs>
      <w:spacing w:before="120" w:after="120" w:line="260" w:lineRule="atLeast"/>
      <w:ind w:left="216"/>
    </w:pPr>
    <w:rPr>
      <w:sz w:val="20"/>
    </w:rPr>
  </w:style>
  <w:style w:type="paragraph" w:customStyle="1" w:styleId="TOCHeading">
    <w:name w:val="TOCHeading"/>
    <w:qFormat/>
    <w:rsid w:val="007B3C5D"/>
    <w:pPr>
      <w:pBdr>
        <w:bottom w:val="single" w:sz="12" w:space="4" w:color="1C1F38" w:themeColor="accent1"/>
      </w:pBdr>
      <w:spacing w:before="120" w:after="120" w:line="260" w:lineRule="atLeast"/>
    </w:pPr>
    <w:rPr>
      <w:rFonts w:asciiTheme="majorHAnsi" w:hAnsiTheme="majorHAnsi"/>
      <w:b/>
      <w:caps/>
      <w:noProof/>
      <w:color w:val="1C1F38" w:themeColor="accent1"/>
      <w:sz w:val="32"/>
    </w:rPr>
  </w:style>
  <w:style w:type="paragraph" w:customStyle="1" w:styleId="Head3">
    <w:name w:val="Head3"/>
    <w:qFormat/>
    <w:rsid w:val="009B3A4D"/>
    <w:pPr>
      <w:keepNext/>
      <w:spacing w:before="240" w:after="0" w:line="260" w:lineRule="atLeast"/>
    </w:pPr>
    <w:rPr>
      <w:rFonts w:asciiTheme="majorHAnsi" w:hAnsiTheme="majorHAnsi"/>
      <w:b/>
      <w:i/>
      <w:noProof/>
      <w:color w:val="F58E61" w:themeColor="accent4"/>
      <w:sz w:val="24"/>
    </w:rPr>
  </w:style>
  <w:style w:type="table" w:styleId="GridTable1Light-Accent1">
    <w:name w:val="Grid Table 1 Light Accent 1"/>
    <w:basedOn w:val="TableNormal"/>
    <w:uiPriority w:val="46"/>
    <w:rsid w:val="00186E5D"/>
    <w:pPr>
      <w:spacing w:after="0" w:line="240" w:lineRule="auto"/>
    </w:pPr>
    <w:tblPr>
      <w:tblStyleRowBandSize w:val="1"/>
      <w:tblStyleColBandSize w:val="1"/>
      <w:tblBorders>
        <w:top w:val="single" w:sz="4" w:space="0" w:color="8D93C6" w:themeColor="accent1" w:themeTint="66"/>
        <w:left w:val="single" w:sz="4" w:space="0" w:color="8D93C6" w:themeColor="accent1" w:themeTint="66"/>
        <w:bottom w:val="single" w:sz="4" w:space="0" w:color="8D93C6" w:themeColor="accent1" w:themeTint="66"/>
        <w:right w:val="single" w:sz="4" w:space="0" w:color="8D93C6" w:themeColor="accent1" w:themeTint="66"/>
        <w:insideH w:val="single" w:sz="4" w:space="0" w:color="8D93C6" w:themeColor="accent1" w:themeTint="66"/>
        <w:insideV w:val="single" w:sz="4" w:space="0" w:color="8D93C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45D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45D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186E5D"/>
    <w:pPr>
      <w:spacing w:after="0" w:line="240" w:lineRule="auto"/>
    </w:pPr>
    <w:tblPr>
      <w:tblStyleRowBandSize w:val="1"/>
      <w:tblStyleColBandSize w:val="1"/>
      <w:tblBorders>
        <w:top w:val="single" w:sz="4" w:space="0" w:color="F6A2C2" w:themeColor="accent2" w:themeTint="66"/>
        <w:left w:val="single" w:sz="4" w:space="0" w:color="F6A2C2" w:themeColor="accent2" w:themeTint="66"/>
        <w:bottom w:val="single" w:sz="4" w:space="0" w:color="F6A2C2" w:themeColor="accent2" w:themeTint="66"/>
        <w:right w:val="single" w:sz="4" w:space="0" w:color="F6A2C2" w:themeColor="accent2" w:themeTint="66"/>
        <w:insideH w:val="single" w:sz="4" w:space="0" w:color="F6A2C2" w:themeColor="accent2" w:themeTint="66"/>
        <w:insideV w:val="single" w:sz="4" w:space="0" w:color="F6A2C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73A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73A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2">
    <w:name w:val="Grid Table 5 Dark Accent 2"/>
    <w:basedOn w:val="TableNormal"/>
    <w:uiPriority w:val="50"/>
    <w:rsid w:val="00186E5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0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176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176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176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1768" w:themeFill="accent2"/>
      </w:tcPr>
    </w:tblStylePr>
    <w:tblStylePr w:type="band1Vert">
      <w:tblPr/>
      <w:tcPr>
        <w:shd w:val="clear" w:color="auto" w:fill="F6A2C2" w:themeFill="accent2" w:themeFillTint="66"/>
      </w:tcPr>
    </w:tblStylePr>
    <w:tblStylePr w:type="band1Horz">
      <w:tblPr/>
      <w:tcPr>
        <w:shd w:val="clear" w:color="auto" w:fill="F6A2C2" w:themeFill="accent2" w:themeFillTint="66"/>
      </w:tcPr>
    </w:tblStylePr>
  </w:style>
  <w:style w:type="table" w:styleId="GridTable4-Accent2">
    <w:name w:val="Grid Table 4 Accent 2"/>
    <w:basedOn w:val="TableNormal"/>
    <w:uiPriority w:val="49"/>
    <w:rsid w:val="00186E5D"/>
    <w:pPr>
      <w:spacing w:after="0" w:line="240" w:lineRule="auto"/>
    </w:pPr>
    <w:tblPr>
      <w:tblStyleRowBandSize w:val="1"/>
      <w:tblStyleColBandSize w:val="1"/>
      <w:tblBorders>
        <w:top w:val="single" w:sz="4" w:space="0" w:color="F173A4" w:themeColor="accent2" w:themeTint="99"/>
        <w:left w:val="single" w:sz="4" w:space="0" w:color="F173A4" w:themeColor="accent2" w:themeTint="99"/>
        <w:bottom w:val="single" w:sz="4" w:space="0" w:color="F173A4" w:themeColor="accent2" w:themeTint="99"/>
        <w:right w:val="single" w:sz="4" w:space="0" w:color="F173A4" w:themeColor="accent2" w:themeTint="99"/>
        <w:insideH w:val="single" w:sz="4" w:space="0" w:color="F173A4" w:themeColor="accent2" w:themeTint="99"/>
        <w:insideV w:val="single" w:sz="4" w:space="0" w:color="F173A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1768" w:themeColor="accent2"/>
          <w:left w:val="single" w:sz="4" w:space="0" w:color="E91768" w:themeColor="accent2"/>
          <w:bottom w:val="single" w:sz="4" w:space="0" w:color="E91768" w:themeColor="accent2"/>
          <w:right w:val="single" w:sz="4" w:space="0" w:color="E91768" w:themeColor="accent2"/>
          <w:insideH w:val="nil"/>
          <w:insideV w:val="nil"/>
        </w:tcBorders>
        <w:shd w:val="clear" w:color="auto" w:fill="E91768" w:themeFill="accent2"/>
      </w:tcPr>
    </w:tblStylePr>
    <w:tblStylePr w:type="lastRow">
      <w:rPr>
        <w:b/>
        <w:bCs/>
      </w:rPr>
      <w:tblPr/>
      <w:tcPr>
        <w:tcBorders>
          <w:top w:val="double" w:sz="4" w:space="0" w:color="E9176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0E0" w:themeFill="accent2" w:themeFillTint="33"/>
      </w:tcPr>
    </w:tblStylePr>
    <w:tblStylePr w:type="band1Horz">
      <w:tblPr/>
      <w:tcPr>
        <w:shd w:val="clear" w:color="auto" w:fill="FAD0E0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186E5D"/>
    <w:pPr>
      <w:spacing w:after="0" w:line="240" w:lineRule="auto"/>
    </w:pPr>
    <w:tblPr>
      <w:tblStyleRowBandSize w:val="1"/>
      <w:tblStyleColBandSize w:val="1"/>
      <w:tblBorders>
        <w:top w:val="single" w:sz="4" w:space="0" w:color="545DA9" w:themeColor="accent1" w:themeTint="99"/>
        <w:left w:val="single" w:sz="4" w:space="0" w:color="545DA9" w:themeColor="accent1" w:themeTint="99"/>
        <w:bottom w:val="single" w:sz="4" w:space="0" w:color="545DA9" w:themeColor="accent1" w:themeTint="99"/>
        <w:right w:val="single" w:sz="4" w:space="0" w:color="545DA9" w:themeColor="accent1" w:themeTint="99"/>
        <w:insideH w:val="single" w:sz="4" w:space="0" w:color="545DA9" w:themeColor="accent1" w:themeTint="99"/>
        <w:insideV w:val="single" w:sz="4" w:space="0" w:color="545DA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1F38" w:themeColor="accent1"/>
          <w:left w:val="single" w:sz="4" w:space="0" w:color="1C1F38" w:themeColor="accent1"/>
          <w:bottom w:val="single" w:sz="4" w:space="0" w:color="1C1F38" w:themeColor="accent1"/>
          <w:right w:val="single" w:sz="4" w:space="0" w:color="1C1F38" w:themeColor="accent1"/>
          <w:insideH w:val="nil"/>
          <w:insideV w:val="nil"/>
        </w:tcBorders>
        <w:shd w:val="clear" w:color="auto" w:fill="1C1F38" w:themeFill="accent1"/>
      </w:tcPr>
    </w:tblStylePr>
    <w:tblStylePr w:type="lastRow">
      <w:rPr>
        <w:b/>
        <w:bCs/>
      </w:rPr>
      <w:tblPr/>
      <w:tcPr>
        <w:tcBorders>
          <w:top w:val="double" w:sz="4" w:space="0" w:color="1C1F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9E2" w:themeFill="accent1" w:themeFillTint="33"/>
      </w:tcPr>
    </w:tblStylePr>
    <w:tblStylePr w:type="band1Horz">
      <w:tblPr/>
      <w:tcPr>
        <w:shd w:val="clear" w:color="auto" w:fill="C6C9E2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186E5D"/>
    <w:pPr>
      <w:spacing w:after="0" w:line="240" w:lineRule="auto"/>
    </w:pPr>
    <w:tblPr>
      <w:tblStyleRowBandSize w:val="1"/>
      <w:tblStyleColBandSize w:val="1"/>
      <w:tblBorders>
        <w:top w:val="single" w:sz="4" w:space="0" w:color="1C1F38" w:themeColor="accent1"/>
        <w:left w:val="single" w:sz="4" w:space="0" w:color="1C1F38" w:themeColor="accent1"/>
        <w:bottom w:val="single" w:sz="4" w:space="0" w:color="1C1F38" w:themeColor="accent1"/>
        <w:right w:val="single" w:sz="4" w:space="0" w:color="1C1F3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1F38" w:themeFill="accent1"/>
      </w:tcPr>
    </w:tblStylePr>
    <w:tblStylePr w:type="lastRow">
      <w:rPr>
        <w:b/>
        <w:bCs/>
      </w:rPr>
      <w:tblPr/>
      <w:tcPr>
        <w:tcBorders>
          <w:top w:val="double" w:sz="4" w:space="0" w:color="1C1F3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1F38" w:themeColor="accent1"/>
          <w:right w:val="single" w:sz="4" w:space="0" w:color="1C1F38" w:themeColor="accent1"/>
        </w:tcBorders>
      </w:tcPr>
    </w:tblStylePr>
    <w:tblStylePr w:type="band1Horz">
      <w:tblPr/>
      <w:tcPr>
        <w:tcBorders>
          <w:top w:val="single" w:sz="4" w:space="0" w:color="1C1F38" w:themeColor="accent1"/>
          <w:bottom w:val="single" w:sz="4" w:space="0" w:color="1C1F3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1F38" w:themeColor="accent1"/>
          <w:left w:val="nil"/>
        </w:tcBorders>
      </w:tcPr>
    </w:tblStylePr>
    <w:tblStylePr w:type="swCell">
      <w:tblPr/>
      <w:tcPr>
        <w:tcBorders>
          <w:top w:val="double" w:sz="4" w:space="0" w:color="1C1F38" w:themeColor="accent1"/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186E5D"/>
    <w:pPr>
      <w:spacing w:after="0" w:line="240" w:lineRule="auto"/>
    </w:pPr>
    <w:rPr>
      <w:color w:val="15172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C1F3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C1F3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C1F3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C1F3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6C9E2" w:themeFill="accent1" w:themeFillTint="33"/>
      </w:tcPr>
    </w:tblStylePr>
    <w:tblStylePr w:type="band1Horz">
      <w:tblPr/>
      <w:tcPr>
        <w:shd w:val="clear" w:color="auto" w:fill="C6C9E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186E5D"/>
    <w:pPr>
      <w:spacing w:after="0" w:line="240" w:lineRule="auto"/>
    </w:pPr>
    <w:rPr>
      <w:color w:val="151729" w:themeColor="accent1" w:themeShade="BF"/>
    </w:rPr>
    <w:tblPr>
      <w:tblStyleRowBandSize w:val="1"/>
      <w:tblStyleColBandSize w:val="1"/>
      <w:tblBorders>
        <w:top w:val="single" w:sz="4" w:space="0" w:color="1C1F38" w:themeColor="accent1"/>
        <w:bottom w:val="single" w:sz="4" w:space="0" w:color="1C1F3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C1F3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C1F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9E2" w:themeFill="accent1" w:themeFillTint="33"/>
      </w:tcPr>
    </w:tblStylePr>
    <w:tblStylePr w:type="band1Horz">
      <w:tblPr/>
      <w:tcPr>
        <w:shd w:val="clear" w:color="auto" w:fill="C6C9E2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4861FD"/>
    <w:rPr>
      <w:color w:val="41546F" w:themeColor="hyperlink"/>
      <w:u w:val="single"/>
    </w:rPr>
  </w:style>
  <w:style w:type="paragraph" w:styleId="Caption">
    <w:name w:val="caption"/>
    <w:next w:val="Normal"/>
    <w:uiPriority w:val="35"/>
    <w:unhideWhenUsed/>
    <w:qFormat/>
    <w:rsid w:val="0070499E"/>
    <w:pPr>
      <w:spacing w:before="240" w:after="0" w:line="260" w:lineRule="atLeast"/>
      <w:jc w:val="center"/>
    </w:pPr>
    <w:rPr>
      <w:i/>
      <w:iCs/>
      <w:color w:val="F58E61" w:themeColor="accent4"/>
      <w:sz w:val="20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50C82"/>
    <w:pPr>
      <w:tabs>
        <w:tab w:val="decimal" w:leader="dot" w:pos="10080"/>
      </w:tabs>
      <w:spacing w:before="60" w:after="0" w:line="260" w:lineRule="atLeast"/>
    </w:pPr>
    <w:rPr>
      <w:sz w:val="20"/>
    </w:rPr>
  </w:style>
  <w:style w:type="character" w:styleId="PlaceholderText">
    <w:name w:val="Placeholder Text"/>
    <w:basedOn w:val="DefaultParagraphFont"/>
    <w:uiPriority w:val="99"/>
    <w:semiHidden/>
    <w:rsid w:val="003569E0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E6654"/>
    <w:rPr>
      <w:rFonts w:asciiTheme="majorHAnsi" w:eastAsiaTheme="majorEastAsia" w:hAnsiTheme="majorHAnsi" w:cstheme="majorBidi"/>
      <w:color w:val="151729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6654"/>
    <w:rPr>
      <w:rFonts w:asciiTheme="majorHAnsi" w:eastAsiaTheme="majorEastAsia" w:hAnsiTheme="majorHAnsi" w:cstheme="majorBidi"/>
      <w:color w:val="151729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38E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38E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838E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9B3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unhideWhenUsed/>
    <w:rsid w:val="00D76C3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C13FA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C13FA2"/>
    <w:rPr>
      <w:rFonts w:ascii="Verdana" w:eastAsia="Verdana" w:hAnsi="Verdana" w:cs="Verdana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C13FA2"/>
    <w:pPr>
      <w:widowControl w:val="0"/>
      <w:autoSpaceDE w:val="0"/>
      <w:autoSpaceDN w:val="0"/>
      <w:spacing w:before="141" w:after="0" w:line="240" w:lineRule="auto"/>
      <w:ind w:left="1620" w:hanging="360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Normal"/>
    <w:uiPriority w:val="1"/>
    <w:qFormat/>
    <w:rsid w:val="00100F94"/>
    <w:pPr>
      <w:widowControl w:val="0"/>
      <w:autoSpaceDE w:val="0"/>
      <w:autoSpaceDN w:val="0"/>
      <w:spacing w:before="175" w:after="0" w:line="240" w:lineRule="auto"/>
      <w:ind w:left="191"/>
    </w:pPr>
    <w:rPr>
      <w:rFonts w:ascii="Verdana" w:eastAsia="Verdana" w:hAnsi="Verdana" w:cs="Verdana"/>
    </w:rPr>
  </w:style>
  <w:style w:type="character" w:customStyle="1" w:styleId="Head1Char">
    <w:name w:val="Head1 Char"/>
    <w:basedOn w:val="Heading1Char"/>
    <w:link w:val="Head1"/>
    <w:rsid w:val="00AC1DE0"/>
    <w:rPr>
      <w:rFonts w:asciiTheme="majorHAnsi" w:eastAsiaTheme="majorEastAsia" w:hAnsiTheme="majorHAnsi" w:cstheme="majorBidi"/>
      <w:b/>
      <w:noProof/>
      <w:color w:val="1C1F38" w:themeColor="accent1"/>
      <w:sz w:val="32"/>
      <w:szCs w:val="32"/>
    </w:rPr>
  </w:style>
  <w:style w:type="paragraph" w:styleId="TOCHeading0">
    <w:name w:val="TOC Heading"/>
    <w:basedOn w:val="Heading1"/>
    <w:next w:val="Normal"/>
    <w:uiPriority w:val="39"/>
    <w:unhideWhenUsed/>
    <w:qFormat/>
    <w:rsid w:val="00AC1DE0"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B5756D"/>
  </w:style>
  <w:style w:type="paragraph" w:customStyle="1" w:styleId="BodyText1">
    <w:name w:val="Body Text 1"/>
    <w:basedOn w:val="Normal"/>
    <w:link w:val="BodyText1Char"/>
    <w:qFormat/>
    <w:rsid w:val="00B8265B"/>
    <w:pPr>
      <w:spacing w:before="120" w:after="0" w:line="300" w:lineRule="exact"/>
    </w:pPr>
    <w:rPr>
      <w:rFonts w:eastAsia="Times New Roman" w:cs="Times New Roman"/>
      <w:szCs w:val="20"/>
    </w:rPr>
  </w:style>
  <w:style w:type="character" w:customStyle="1" w:styleId="BodyText1Char">
    <w:name w:val="Body Text 1 Char"/>
    <w:link w:val="BodyText1"/>
    <w:rsid w:val="008B66FC"/>
    <w:rPr>
      <w:rFonts w:eastAsia="Times New Roman" w:cs="Times New Roman"/>
      <w:szCs w:val="20"/>
    </w:rPr>
  </w:style>
  <w:style w:type="paragraph" w:customStyle="1" w:styleId="bulletleveltwo">
    <w:name w:val="bullet level two"/>
    <w:basedOn w:val="Normal"/>
    <w:uiPriority w:val="1"/>
    <w:qFormat/>
    <w:rsid w:val="00AC0855"/>
    <w:pPr>
      <w:numPr>
        <w:numId w:val="2"/>
      </w:numPr>
      <w:tabs>
        <w:tab w:val="num" w:pos="720"/>
      </w:tabs>
      <w:spacing w:before="120" w:after="0" w:line="240" w:lineRule="auto"/>
    </w:pPr>
    <w:rPr>
      <w:rFonts w:ascii="Arial" w:eastAsia="Calibri" w:hAnsi="Arial" w:cs="Times New Roman"/>
    </w:rPr>
  </w:style>
  <w:style w:type="character" w:customStyle="1" w:styleId="normaltextrun">
    <w:name w:val="normaltextrun"/>
    <w:basedOn w:val="DefaultParagraphFont"/>
    <w:rsid w:val="0091406A"/>
  </w:style>
  <w:style w:type="table" w:customStyle="1" w:styleId="TableGrid1">
    <w:name w:val="Table Grid1"/>
    <w:basedOn w:val="TableNormal"/>
    <w:next w:val="TableGrid"/>
    <w:uiPriority w:val="59"/>
    <w:unhideWhenUsed/>
    <w:rsid w:val="000F3706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42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4238"/>
    <w:pPr>
      <w:spacing w:before="120" w:after="100" w:afterAutospacing="1"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4238"/>
    <w:rPr>
      <w:rFonts w:ascii="Arial" w:eastAsia="Calibri" w:hAnsi="Arial" w:cs="Times New Roman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1D4238"/>
    <w:rPr>
      <w:color w:val="2B579A"/>
      <w:shd w:val="clear" w:color="auto" w:fill="E6E6E6"/>
    </w:rPr>
  </w:style>
  <w:style w:type="paragraph" w:customStyle="1" w:styleId="paragraph">
    <w:name w:val="paragraph"/>
    <w:basedOn w:val="Normal"/>
    <w:rsid w:val="006A2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3B11"/>
    <w:pPr>
      <w:spacing w:before="0" w:after="160" w:afterAutospacing="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3B11"/>
    <w:rPr>
      <w:rFonts w:ascii="Arial" w:eastAsia="Calibri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D59D4"/>
    <w:pPr>
      <w:spacing w:after="0" w:line="240" w:lineRule="auto"/>
    </w:pPr>
  </w:style>
  <w:style w:type="character" w:customStyle="1" w:styleId="ui-provider">
    <w:name w:val="ui-provider"/>
    <w:basedOn w:val="DefaultParagraphFont"/>
    <w:rsid w:val="004C7178"/>
  </w:style>
  <w:style w:type="character" w:styleId="Strong">
    <w:name w:val="Strong"/>
    <w:basedOn w:val="DefaultParagraphFont"/>
    <w:uiPriority w:val="22"/>
    <w:qFormat/>
    <w:rsid w:val="008B3C77"/>
    <w:rPr>
      <w:b/>
      <w:bCs/>
    </w:rPr>
  </w:style>
  <w:style w:type="paragraph" w:customStyle="1" w:styleId="bulletlevelone">
    <w:name w:val="bullet level one"/>
    <w:basedOn w:val="bulletlevel1"/>
    <w:qFormat/>
    <w:rsid w:val="009155B7"/>
    <w:pPr>
      <w:numPr>
        <w:numId w:val="0"/>
      </w:numPr>
      <w:spacing w:after="0" w:afterAutospacing="0"/>
    </w:pPr>
  </w:style>
  <w:style w:type="table" w:customStyle="1" w:styleId="Aimia40purple">
    <w:name w:val="Aimia 4.0 purple"/>
    <w:basedOn w:val="TableNormal"/>
    <w:uiPriority w:val="99"/>
    <w:rsid w:val="009155B7"/>
    <w:pPr>
      <w:spacing w:after="0" w:line="240" w:lineRule="auto"/>
    </w:pPr>
    <w:rPr>
      <w:rFonts w:eastAsia="Calibri" w:cs="Times New Roman"/>
      <w:sz w:val="20"/>
      <w:szCs w:val="20"/>
      <w:lang w:val="en-GB" w:eastAsia="en-GB"/>
    </w:rPr>
    <w:tblPr>
      <w:tblStyleRowBandSize w:val="1"/>
      <w:tblStyleColBandSize w:val="1"/>
      <w:tblBorders>
        <w:bottom w:val="single" w:sz="4" w:space="0" w:color="808080"/>
        <w:insideH w:val="single" w:sz="4" w:space="0" w:color="808080"/>
      </w:tblBorders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216" w:lineRule="auto"/>
        <w:contextualSpacing w:val="0"/>
        <w:jc w:val="left"/>
      </w:pPr>
      <w:rPr>
        <w:rFonts w:ascii="Arial" w:hAnsi="Arial"/>
        <w:b w:val="0"/>
        <w:caps/>
        <w:smallCaps w:val="0"/>
        <w:strike w:val="0"/>
        <w:dstrike w:val="0"/>
        <w:vanish w:val="0"/>
        <w:color w:val="FFFFFF"/>
        <w:sz w:val="20"/>
        <w:vertAlign w:val="baseline"/>
      </w:rPr>
      <w:tblPr/>
      <w:tcPr>
        <w:shd w:val="clear" w:color="auto" w:fill="7B7B7B" w:themeFill="text2"/>
      </w:tcPr>
    </w:tblStylePr>
    <w:tblStylePr w:type="lastRow">
      <w:pPr>
        <w:jc w:val="left"/>
      </w:pPr>
      <w:rPr>
        <w:b/>
      </w:rPr>
    </w:tblStylePr>
    <w:tblStylePr w:type="firstCol">
      <w:pPr>
        <w:jc w:val="left"/>
      </w:pPr>
      <w:rPr>
        <w:b/>
      </w:rPr>
    </w:tblStylePr>
    <w:tblStylePr w:type="lastCol">
      <w:pPr>
        <w:jc w:val="left"/>
      </w:pPr>
    </w:tblStylePr>
    <w:tblStylePr w:type="band1Vert">
      <w:pPr>
        <w:jc w:val="left"/>
      </w:pPr>
    </w:tblStylePr>
    <w:tblStylePr w:type="band2Vert">
      <w:pPr>
        <w:jc w:val="left"/>
      </w:pPr>
    </w:tblStylePr>
    <w:tblStylePr w:type="band1Horz">
      <w:pPr>
        <w:jc w:val="left"/>
      </w:pPr>
    </w:tblStylePr>
    <w:tblStylePr w:type="band2Horz">
      <w:pPr>
        <w:jc w:val="left"/>
      </w:pPr>
    </w:tblStylePr>
  </w:style>
  <w:style w:type="paragraph" w:customStyle="1" w:styleId="bulletlevel1">
    <w:name w:val="bullet level 1"/>
    <w:basedOn w:val="Normal"/>
    <w:rsid w:val="009155B7"/>
    <w:pPr>
      <w:numPr>
        <w:numId w:val="3"/>
      </w:numPr>
      <w:spacing w:before="120" w:after="100" w:afterAutospacing="1" w:line="240" w:lineRule="auto"/>
    </w:pPr>
    <w:rPr>
      <w:rFonts w:ascii="Arial" w:eastAsia="Calibri" w:hAnsi="Arial" w:cs="Times New Roman"/>
      <w:lang w:val="en-GB"/>
    </w:rPr>
  </w:style>
  <w:style w:type="table" w:styleId="PlainTable1">
    <w:name w:val="Plain Table 1"/>
    <w:basedOn w:val="TableNormal"/>
    <w:uiPriority w:val="41"/>
    <w:rsid w:val="003630D7"/>
    <w:pPr>
      <w:spacing w:after="0" w:line="240" w:lineRule="auto"/>
    </w:pPr>
    <w:rPr>
      <w:kern w:val="2"/>
      <w:lang w:val="en-GB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B92D13"/>
    <w:rPr>
      <w:rFonts w:asciiTheme="majorHAnsi" w:eastAsiaTheme="majorEastAsia" w:hAnsiTheme="majorHAnsi" w:cstheme="majorBidi"/>
      <w:color w:val="0E0F1B" w:themeColor="accent1" w:themeShade="7F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D87746"/>
    <w:rPr>
      <w:rFonts w:ascii="Verdana" w:eastAsia="Verdana" w:hAnsi="Verdana" w:cs="Verdana"/>
    </w:rPr>
  </w:style>
  <w:style w:type="character" w:styleId="FollowedHyperlink">
    <w:name w:val="FollowedHyperlink"/>
    <w:basedOn w:val="DefaultParagraphFont"/>
    <w:uiPriority w:val="99"/>
    <w:semiHidden/>
    <w:unhideWhenUsed/>
    <w:rsid w:val="00A50D6D"/>
    <w:rPr>
      <w:color w:val="AAB8C2" w:themeColor="followedHyperlink"/>
      <w:u w:val="single"/>
    </w:rPr>
  </w:style>
  <w:style w:type="paragraph" w:styleId="ListBullet">
    <w:name w:val="List Bullet"/>
    <w:basedOn w:val="Normal"/>
    <w:uiPriority w:val="99"/>
    <w:unhideWhenUsed/>
    <w:rsid w:val="0071094F"/>
    <w:pPr>
      <w:numPr>
        <w:numId w:val="20"/>
      </w:numPr>
      <w:spacing w:after="200" w:line="276" w:lineRule="auto"/>
      <w:contextualSpacing/>
    </w:pPr>
    <w:rPr>
      <w:rFonts w:ascii="Aptos" w:eastAsiaTheme="minorEastAsia" w:hAnsi="Aptos"/>
      <w:color w:val="243746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7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903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514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312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578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035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7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2822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408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83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499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819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192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503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208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387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1873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yperlink" Target="https://www.annexcloud.com/contact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annexcloud.com/contact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delineMullins\AppData\Local\Temp\Temp1_BrandTemplates_All_APR23.zip\Kognitiv_Word_Template_APR23%20copy.dotx" TargetMode="External"/></Relationships>
</file>

<file path=word/theme/theme1.xml><?xml version="1.0" encoding="utf-8"?>
<a:theme xmlns:a="http://schemas.openxmlformats.org/drawingml/2006/main" name="Theme1">
  <a:themeElements>
    <a:clrScheme name="Annex Cloud">
      <a:dk1>
        <a:sysClr val="windowText" lastClr="000000"/>
      </a:dk1>
      <a:lt1>
        <a:sysClr val="window" lastClr="FFFFFF"/>
      </a:lt1>
      <a:dk2>
        <a:srgbClr val="7B7B7B"/>
      </a:dk2>
      <a:lt2>
        <a:srgbClr val="E7E6E6"/>
      </a:lt2>
      <a:accent1>
        <a:srgbClr val="1C1F38"/>
      </a:accent1>
      <a:accent2>
        <a:srgbClr val="E91768"/>
      </a:accent2>
      <a:accent3>
        <a:srgbClr val="6610F2"/>
      </a:accent3>
      <a:accent4>
        <a:srgbClr val="F58E61"/>
      </a:accent4>
      <a:accent5>
        <a:srgbClr val="EF5459"/>
      </a:accent5>
      <a:accent6>
        <a:srgbClr val="A21B55"/>
      </a:accent6>
      <a:hlink>
        <a:srgbClr val="41546F"/>
      </a:hlink>
      <a:folHlink>
        <a:srgbClr val="AAB8C2"/>
      </a:folHlink>
    </a:clrScheme>
    <a:fontScheme name="Custom 3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lIns="45720" rIns="45720"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Theme1" id="{75EBD531-3347-4740-91B5-BF56CE350604}" vid="{AEF6F878-3BC7-42F8-A42D-8B81AF1B201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8736c-ef03-4764-be72-81dd3867fb90">
      <Terms xmlns="http://schemas.microsoft.com/office/infopath/2007/PartnerControls"/>
    </lcf76f155ced4ddcb4097134ff3c332f>
    <TaxCatchAll xmlns="f3d52265-ee7d-4cbb-8a77-d6b924c8b8c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0C4367F20E941855838B6C65B68C8" ma:contentTypeVersion="18" ma:contentTypeDescription="Create a new document." ma:contentTypeScope="" ma:versionID="ff769e0834294bfb4e2a016f5eb4858b">
  <xsd:schema xmlns:xsd="http://www.w3.org/2001/XMLSchema" xmlns:xs="http://www.w3.org/2001/XMLSchema" xmlns:p="http://schemas.microsoft.com/office/2006/metadata/properties" xmlns:ns2="f3d52265-ee7d-4cbb-8a77-d6b924c8b8ca" xmlns:ns3="b938736c-ef03-4764-be72-81dd3867fb90" targetNamespace="http://schemas.microsoft.com/office/2006/metadata/properties" ma:root="true" ma:fieldsID="5fd0c581882f3cf20e28d3092f02a20a" ns2:_="" ns3:_="">
    <xsd:import namespace="f3d52265-ee7d-4cbb-8a77-d6b924c8b8ca"/>
    <xsd:import namespace="b938736c-ef03-4764-be72-81dd3867fb9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d52265-ee7d-4cbb-8a77-d6b924c8b8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30ee0a70-bce0-41d7-ad29-399013b926b3}" ma:internalName="TaxCatchAll" ma:showField="CatchAllData" ma:web="f3d52265-ee7d-4cbb-8a77-d6b924c8b8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8736c-ef03-4764-be72-81dd3867fb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d7a45a0-9db3-4f54-9b8b-a309b24a26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C70DC9-86BA-4FBF-B034-E86C45C8EB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3A137D-C783-43B5-A5D7-309633DA73CA}">
  <ds:schemaRefs>
    <ds:schemaRef ds:uri="http://schemas.microsoft.com/office/2006/metadata/properties"/>
    <ds:schemaRef ds:uri="http://schemas.microsoft.com/office/infopath/2007/PartnerControls"/>
    <ds:schemaRef ds:uri="b938736c-ef03-4764-be72-81dd3867fb90"/>
    <ds:schemaRef ds:uri="f3d52265-ee7d-4cbb-8a77-d6b924c8b8ca"/>
  </ds:schemaRefs>
</ds:datastoreItem>
</file>

<file path=customXml/itemProps3.xml><?xml version="1.0" encoding="utf-8"?>
<ds:datastoreItem xmlns:ds="http://schemas.openxmlformats.org/officeDocument/2006/customXml" ds:itemID="{6F0EC506-3BA7-4BDD-8445-75A0BB59F4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542C48-A6D7-41E1-A0FD-2567474AE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d52265-ee7d-4cbb-8a77-d6b924c8b8ca"/>
    <ds:schemaRef ds:uri="b938736c-ef03-4764-be72-81dd3867fb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Kognitiv_Word_Template_APR23 copy.dotx</Template>
  <TotalTime>3</TotalTime>
  <Pages>11</Pages>
  <Words>1971</Words>
  <Characters>11237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13182</CharactersWithSpaces>
  <SharedDoc>false</SharedDoc>
  <HLinks>
    <vt:vector size="42" baseType="variant">
      <vt:variant>
        <vt:i4>5177357</vt:i4>
      </vt:variant>
      <vt:variant>
        <vt:i4>36</vt:i4>
      </vt:variant>
      <vt:variant>
        <vt:i4>0</vt:i4>
      </vt:variant>
      <vt:variant>
        <vt:i4>5</vt:i4>
      </vt:variant>
      <vt:variant>
        <vt:lpwstr>https://www.annexcloud.com/api-documentation/</vt:lpwstr>
      </vt:variant>
      <vt:variant>
        <vt:lpwstr/>
      </vt:variant>
      <vt:variant>
        <vt:i4>1310787</vt:i4>
      </vt:variant>
      <vt:variant>
        <vt:i4>33</vt:i4>
      </vt:variant>
      <vt:variant>
        <vt:i4>0</vt:i4>
      </vt:variant>
      <vt:variant>
        <vt:i4>5</vt:i4>
      </vt:variant>
      <vt:variant>
        <vt:lpwstr>https://www.annexcloud.com/partners/</vt:lpwstr>
      </vt:variant>
      <vt:variant>
        <vt:lpwstr/>
      </vt:variant>
      <vt:variant>
        <vt:i4>1114162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_Toc227929547</vt:lpwstr>
      </vt:variant>
      <vt:variant>
        <vt:i4>1114162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_Toc227929546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_Toc227929545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_Toc227929544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_Toc227929543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Cloud - The Global Loyalty Decision Guide</dc:title>
  <dc:subject/>
  <dc:creator>Annex Cloud</dc:creator>
  <cp:keywords/>
  <dc:description/>
  <cp:lastModifiedBy>Ivan A</cp:lastModifiedBy>
  <cp:revision>3</cp:revision>
  <cp:lastPrinted>2025-11-14T18:58:00Z</cp:lastPrinted>
  <dcterms:created xsi:type="dcterms:W3CDTF">2026-07-31T19:18:00Z</dcterms:created>
  <dcterms:modified xsi:type="dcterms:W3CDTF">2026-09-11T21:59:00Z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0x0101009940C4367F20E941855838B6C65B68C8</vt:lpwstr>
  </property>
  <property fmtid="{D5CDD505-2E9C-101B-9397-08002B2CF9AE}" pid="3" name="MediaServiceImageTags">
    <vt:lpwstr/>
  </property>
  <property fmtid="{D5CDD505-2E9C-101B-9397-08002B2CF9AE}" pid="4" name="GrammarlyDocumentId">
    <vt:lpwstr>f7298952ecd26d47baebfb7337bfe8f1d4954f537851e5b7f012f3e620dc3c1e</vt:lpwstr>
  </property>
</Properties>
</file>